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4D91" w14:textId="77777777" w:rsidR="00852442" w:rsidRDefault="00852442" w:rsidP="00852442">
      <w:pPr>
        <w:spacing w:after="0" w:line="360" w:lineRule="auto"/>
        <w:outlineLvl w:val="0"/>
        <w:rPr>
          <w:rFonts w:ascii="Akkurat" w:eastAsia="Times New Roman" w:hAnsi="Akkurat" w:cs="Segoe UI"/>
          <w:b/>
          <w:bCs/>
          <w:kern w:val="36"/>
          <w:sz w:val="32"/>
          <w:szCs w:val="48"/>
          <w:lang w:eastAsia="en-IE"/>
        </w:rPr>
      </w:pPr>
    </w:p>
    <w:p w14:paraId="3AD97D55" w14:textId="77777777" w:rsidR="00852442" w:rsidRPr="00852442" w:rsidRDefault="00852442" w:rsidP="00852442">
      <w:pPr>
        <w:spacing w:after="0" w:line="360" w:lineRule="auto"/>
        <w:outlineLvl w:val="0"/>
        <w:rPr>
          <w:rFonts w:ascii="Akkurat" w:eastAsia="Times New Roman" w:hAnsi="Akkurat" w:cs="Segoe UI"/>
          <w:b/>
          <w:bCs/>
          <w:kern w:val="36"/>
          <w:sz w:val="32"/>
          <w:szCs w:val="48"/>
          <w:lang w:eastAsia="en-IE"/>
        </w:rPr>
      </w:pPr>
      <w:r w:rsidRPr="00852442">
        <w:rPr>
          <w:rFonts w:ascii="Akkurat" w:eastAsia="Times New Roman" w:hAnsi="Akkurat" w:cs="Segoe UI"/>
          <w:b/>
          <w:bCs/>
          <w:kern w:val="36"/>
          <w:sz w:val="32"/>
          <w:szCs w:val="48"/>
          <w:lang w:eastAsia="en-IE"/>
        </w:rPr>
        <w:t>REQUEST FOR QUOTATION</w:t>
      </w:r>
    </w:p>
    <w:p w14:paraId="44A9EE8F" w14:textId="77777777" w:rsidR="00852442" w:rsidRDefault="00852442" w:rsidP="00852442">
      <w:pPr>
        <w:spacing w:after="0" w:line="360" w:lineRule="auto"/>
        <w:outlineLvl w:val="0"/>
        <w:rPr>
          <w:rFonts w:ascii="Akkurat" w:eastAsia="Times New Roman" w:hAnsi="Akkurat" w:cs="Segoe UI"/>
          <w:b/>
          <w:bCs/>
          <w:kern w:val="36"/>
          <w:sz w:val="32"/>
          <w:szCs w:val="48"/>
          <w:lang w:eastAsia="en-IE"/>
        </w:rPr>
      </w:pPr>
      <w:r w:rsidRPr="00852442">
        <w:rPr>
          <w:rFonts w:ascii="Akkurat" w:eastAsia="Times New Roman" w:hAnsi="Akkurat" w:cs="Segoe UI"/>
          <w:b/>
          <w:bCs/>
          <w:kern w:val="36"/>
          <w:sz w:val="32"/>
          <w:szCs w:val="48"/>
          <w:lang w:eastAsia="en-IE"/>
        </w:rPr>
        <w:t>FOR AGGREGATE SPEND UPTO €25,000 (Excl. VAT)</w:t>
      </w:r>
    </w:p>
    <w:p w14:paraId="4631C522" w14:textId="77777777" w:rsidR="00852442" w:rsidRPr="00852442" w:rsidRDefault="00852442" w:rsidP="00852442">
      <w:pPr>
        <w:spacing w:after="0" w:line="360" w:lineRule="auto"/>
        <w:outlineLvl w:val="0"/>
        <w:rPr>
          <w:rFonts w:ascii="Akkurat" w:eastAsia="Times New Roman" w:hAnsi="Akkurat" w:cs="Segoe UI"/>
          <w:b/>
          <w:bCs/>
          <w:kern w:val="36"/>
          <w:sz w:val="32"/>
          <w:szCs w:val="48"/>
          <w:lang w:eastAsia="en-IE"/>
        </w:rPr>
      </w:pPr>
    </w:p>
    <w:tbl>
      <w:tblPr>
        <w:tblStyle w:val="GridTable4-Accent1"/>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852442" w:rsidRPr="00852442" w14:paraId="6EAB3BC2" w14:textId="77777777" w:rsidTr="00852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47361" w14:textId="77777777" w:rsidR="00852442" w:rsidRPr="00852442" w:rsidRDefault="00852442" w:rsidP="00B94616">
            <w:pPr>
              <w:spacing w:line="360" w:lineRule="auto"/>
              <w:outlineLvl w:val="0"/>
              <w:rPr>
                <w:rFonts w:ascii="Akkurat" w:hAnsi="Akkurat" w:cs="Segoe UI"/>
                <w:bCs w:val="0"/>
                <w:color w:val="auto"/>
                <w:kern w:val="36"/>
                <w:sz w:val="28"/>
                <w:szCs w:val="48"/>
              </w:rPr>
            </w:pPr>
            <w:r w:rsidRPr="00852442">
              <w:rPr>
                <w:rFonts w:ascii="Akkurat" w:hAnsi="Akkurat" w:cs="Segoe UI"/>
                <w:bCs w:val="0"/>
                <w:color w:val="000000" w:themeColor="text1"/>
                <w:kern w:val="36"/>
                <w:sz w:val="28"/>
                <w:szCs w:val="48"/>
              </w:rPr>
              <w:t xml:space="preserve">Subject of </w:t>
            </w:r>
            <w:r w:rsidR="00B94616">
              <w:rPr>
                <w:rFonts w:ascii="Akkurat" w:hAnsi="Akkurat" w:cs="Segoe UI"/>
                <w:bCs w:val="0"/>
                <w:color w:val="000000" w:themeColor="text1"/>
                <w:kern w:val="36"/>
                <w:sz w:val="28"/>
                <w:szCs w:val="48"/>
              </w:rPr>
              <w:t>Quotation</w:t>
            </w:r>
          </w:p>
        </w:tc>
      </w:tr>
      <w:tr w:rsidR="00852442" w:rsidRPr="00852442" w14:paraId="4F83E79B" w14:textId="77777777" w:rsidTr="00852442">
        <w:trPr>
          <w:cnfStyle w:val="000000100000" w:firstRow="0" w:lastRow="0" w:firstColumn="0" w:lastColumn="0" w:oddVBand="0" w:evenVBand="0" w:oddHBand="1"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hideMark/>
          </w:tcPr>
          <w:p w14:paraId="3A20747E" w14:textId="77777777" w:rsidR="00B94616" w:rsidRPr="00B94616" w:rsidRDefault="00B94616" w:rsidP="00B94616">
            <w:pPr>
              <w:spacing w:line="276" w:lineRule="auto"/>
              <w:outlineLvl w:val="0"/>
              <w:rPr>
                <w:rFonts w:ascii="Akkurat" w:hAnsi="Akkurat" w:cs="Segoe UI"/>
                <w:sz w:val="12"/>
                <w:szCs w:val="24"/>
              </w:rPr>
            </w:pPr>
          </w:p>
          <w:p w14:paraId="0A21D8B9" w14:textId="77777777" w:rsidR="00852442" w:rsidRPr="00B94616" w:rsidRDefault="00852442" w:rsidP="00B94616">
            <w:pPr>
              <w:spacing w:line="276" w:lineRule="auto"/>
              <w:outlineLvl w:val="0"/>
              <w:rPr>
                <w:rFonts w:ascii="Akkurat" w:hAnsi="Akkurat" w:cs="Segoe UI"/>
                <w:b w:val="0"/>
                <w:bCs w:val="0"/>
                <w:kern w:val="36"/>
                <w:sz w:val="24"/>
                <w:szCs w:val="24"/>
              </w:rPr>
            </w:pPr>
            <w:r w:rsidRPr="00B94616">
              <w:rPr>
                <w:rFonts w:ascii="Akkurat" w:hAnsi="Akkurat" w:cs="Segoe UI"/>
                <w:sz w:val="24"/>
                <w:szCs w:val="24"/>
              </w:rPr>
              <w:t>Solstice Arts Centre and Swift Cultural Centre (hereafter “the Contracting Company”) invite tenders from suitably qualified and experienced consultants or organisations for the development of a new strategic plan covering the period 2027–2031.</w:t>
            </w:r>
          </w:p>
        </w:tc>
      </w:tr>
      <w:tr w:rsidR="00852442" w:rsidRPr="00852442" w14:paraId="7A836F02" w14:textId="77777777" w:rsidTr="00852442">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58FA35" w14:textId="77777777"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Key Dates</w:t>
            </w:r>
          </w:p>
        </w:tc>
      </w:tr>
      <w:tr w:rsidR="00852442" w:rsidRPr="00852442" w14:paraId="3BF0403D" w14:textId="77777777" w:rsidTr="008524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46A2EE" w14:textId="77777777"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Issue Date</w:t>
            </w:r>
          </w:p>
        </w:tc>
        <w:tc>
          <w:tcPr>
            <w:tcW w:w="6521" w:type="dxa"/>
            <w:tcBorders>
              <w:top w:val="single" w:sz="4" w:space="0" w:color="auto"/>
              <w:left w:val="single" w:sz="4" w:space="0" w:color="auto"/>
              <w:bottom w:val="single" w:sz="4" w:space="0" w:color="auto"/>
              <w:right w:val="single" w:sz="4" w:space="0" w:color="auto"/>
            </w:tcBorders>
            <w:hideMark/>
          </w:tcPr>
          <w:p w14:paraId="73E53A08" w14:textId="77777777" w:rsidR="00852442" w:rsidRPr="00B94616" w:rsidRDefault="00852442" w:rsidP="00540DD3">
            <w:pPr>
              <w:spacing w:before="240" w:line="276" w:lineRule="auto"/>
              <w:outlineLvl w:val="0"/>
              <w:cnfStyle w:val="000000100000" w:firstRow="0" w:lastRow="0" w:firstColumn="0" w:lastColumn="0" w:oddVBand="0" w:evenVBand="0" w:oddHBand="1" w:evenHBand="0" w:firstRowFirstColumn="0" w:firstRowLastColumn="0" w:lastRowFirstColumn="0" w:lastRowLastColumn="0"/>
              <w:rPr>
                <w:rFonts w:ascii="Akkurat" w:hAnsi="Akkurat" w:cs="Segoe UI"/>
                <w:b/>
                <w:bCs/>
                <w:kern w:val="36"/>
                <w:sz w:val="32"/>
                <w:szCs w:val="48"/>
              </w:rPr>
            </w:pPr>
            <w:r w:rsidRPr="00540DD3">
              <w:rPr>
                <w:rFonts w:ascii="Akkurat" w:hAnsi="Akkurat" w:cs="Segoe UI"/>
                <w:b/>
                <w:bCs/>
                <w:kern w:val="36"/>
                <w:sz w:val="28"/>
                <w:szCs w:val="36"/>
              </w:rPr>
              <w:t>23/04/26</w:t>
            </w:r>
          </w:p>
        </w:tc>
      </w:tr>
      <w:tr w:rsidR="00852442" w:rsidRPr="00852442" w14:paraId="041CEBC1" w14:textId="77777777" w:rsidTr="0085244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DD3D67" w14:textId="77777777"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Closing Date for Queries</w:t>
            </w:r>
          </w:p>
        </w:tc>
        <w:tc>
          <w:tcPr>
            <w:tcW w:w="6521" w:type="dxa"/>
            <w:tcBorders>
              <w:top w:val="single" w:sz="4" w:space="0" w:color="auto"/>
              <w:left w:val="single" w:sz="4" w:space="0" w:color="auto"/>
              <w:bottom w:val="single" w:sz="4" w:space="0" w:color="auto"/>
              <w:right w:val="single" w:sz="4" w:space="0" w:color="auto"/>
            </w:tcBorders>
            <w:hideMark/>
          </w:tcPr>
          <w:p w14:paraId="648958B4" w14:textId="7232A53C" w:rsidR="00852442" w:rsidRPr="00B94616" w:rsidRDefault="000B092F" w:rsidP="00540DD3">
            <w:pPr>
              <w:spacing w:before="240" w:line="276" w:lineRule="auto"/>
              <w:outlineLvl w:val="0"/>
              <w:cnfStyle w:val="000000000000" w:firstRow="0" w:lastRow="0" w:firstColumn="0" w:lastColumn="0" w:oddVBand="0" w:evenVBand="0" w:oddHBand="0" w:evenHBand="0" w:firstRowFirstColumn="0" w:firstRowLastColumn="0" w:lastRowFirstColumn="0" w:lastRowLastColumn="0"/>
              <w:rPr>
                <w:rFonts w:ascii="Akkurat" w:hAnsi="Akkurat" w:cs="Segoe UI"/>
                <w:b/>
                <w:bCs/>
                <w:kern w:val="36"/>
                <w:sz w:val="32"/>
                <w:szCs w:val="48"/>
              </w:rPr>
            </w:pPr>
            <w:r>
              <w:rPr>
                <w:rFonts w:ascii="Akkurat" w:hAnsi="Akkurat" w:cs="Segoe UI"/>
                <w:b/>
                <w:bCs/>
                <w:kern w:val="36"/>
                <w:sz w:val="28"/>
                <w:szCs w:val="36"/>
              </w:rPr>
              <w:t>June 6</w:t>
            </w:r>
            <w:r w:rsidRPr="000B092F">
              <w:rPr>
                <w:rFonts w:ascii="Akkurat" w:hAnsi="Akkurat" w:cs="Segoe UI"/>
                <w:b/>
                <w:bCs/>
                <w:kern w:val="36"/>
                <w:sz w:val="28"/>
                <w:szCs w:val="36"/>
                <w:vertAlign w:val="superscript"/>
              </w:rPr>
              <w:t>th</w:t>
            </w:r>
            <w:r w:rsidR="00A34876" w:rsidRPr="00540DD3">
              <w:rPr>
                <w:rFonts w:ascii="Akkurat" w:hAnsi="Akkurat" w:cs="Segoe UI"/>
                <w:b/>
                <w:bCs/>
                <w:kern w:val="36"/>
                <w:sz w:val="28"/>
                <w:szCs w:val="36"/>
              </w:rPr>
              <w:t xml:space="preserve"> 2026</w:t>
            </w:r>
          </w:p>
        </w:tc>
      </w:tr>
      <w:tr w:rsidR="00852442" w:rsidRPr="00852442" w14:paraId="468443C1" w14:textId="77777777" w:rsidTr="00852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8CEFFA" w14:textId="77777777"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Closing Date for Quotations</w:t>
            </w:r>
          </w:p>
        </w:tc>
        <w:tc>
          <w:tcPr>
            <w:tcW w:w="6521" w:type="dxa"/>
            <w:tcBorders>
              <w:top w:val="single" w:sz="4" w:space="0" w:color="auto"/>
              <w:left w:val="single" w:sz="4" w:space="0" w:color="auto"/>
              <w:bottom w:val="single" w:sz="4" w:space="0" w:color="auto"/>
              <w:right w:val="single" w:sz="4" w:space="0" w:color="auto"/>
            </w:tcBorders>
            <w:hideMark/>
          </w:tcPr>
          <w:p w14:paraId="0DDF31C0" w14:textId="19C69A1B" w:rsidR="00852442" w:rsidRPr="008018D1" w:rsidRDefault="000B092F" w:rsidP="00540DD3">
            <w:pPr>
              <w:spacing w:before="240" w:line="276" w:lineRule="auto"/>
              <w:outlineLvl w:val="0"/>
              <w:cnfStyle w:val="000000100000" w:firstRow="0" w:lastRow="0" w:firstColumn="0" w:lastColumn="0" w:oddVBand="0" w:evenVBand="0" w:oddHBand="1" w:evenHBand="0" w:firstRowFirstColumn="0" w:firstRowLastColumn="0" w:lastRowFirstColumn="0" w:lastRowLastColumn="0"/>
              <w:rPr>
                <w:rFonts w:ascii="Akkurat" w:hAnsi="Akkurat" w:cs="Segoe UI"/>
                <w:b/>
                <w:bCs/>
                <w:kern w:val="36"/>
                <w:sz w:val="28"/>
                <w:szCs w:val="28"/>
              </w:rPr>
            </w:pPr>
            <w:r>
              <w:rPr>
                <w:rFonts w:ascii="Akkurat" w:hAnsi="Akkurat" w:cs="Segoe UI"/>
                <w:b/>
                <w:bCs/>
                <w:kern w:val="36"/>
                <w:sz w:val="28"/>
                <w:szCs w:val="28"/>
              </w:rPr>
              <w:t>June 13</w:t>
            </w:r>
            <w:r w:rsidRPr="000B092F">
              <w:rPr>
                <w:rFonts w:ascii="Akkurat" w:hAnsi="Akkurat" w:cs="Segoe UI"/>
                <w:b/>
                <w:bCs/>
                <w:kern w:val="36"/>
                <w:sz w:val="28"/>
                <w:szCs w:val="28"/>
                <w:vertAlign w:val="superscript"/>
              </w:rPr>
              <w:t>th</w:t>
            </w:r>
            <w:r>
              <w:rPr>
                <w:rFonts w:ascii="Akkurat" w:hAnsi="Akkurat" w:cs="Segoe UI"/>
                <w:b/>
                <w:bCs/>
                <w:kern w:val="36"/>
                <w:sz w:val="28"/>
                <w:szCs w:val="28"/>
                <w:vertAlign w:val="superscript"/>
              </w:rPr>
              <w:t xml:space="preserve"> </w:t>
            </w:r>
            <w:r w:rsidR="00142B23" w:rsidRPr="008018D1">
              <w:rPr>
                <w:rFonts w:ascii="Akkurat" w:hAnsi="Akkurat" w:cs="Segoe UI"/>
                <w:b/>
                <w:bCs/>
                <w:kern w:val="36"/>
                <w:sz w:val="28"/>
                <w:szCs w:val="28"/>
              </w:rPr>
              <w:t xml:space="preserve">2026, </w:t>
            </w:r>
            <w:r w:rsidR="00A34876" w:rsidRPr="008018D1">
              <w:rPr>
                <w:rFonts w:ascii="Akkurat" w:hAnsi="Akkurat" w:cs="Segoe UI"/>
                <w:b/>
                <w:bCs/>
                <w:kern w:val="36"/>
                <w:sz w:val="28"/>
                <w:szCs w:val="28"/>
              </w:rPr>
              <w:t>5.00 p.m.</w:t>
            </w:r>
          </w:p>
        </w:tc>
      </w:tr>
      <w:tr w:rsidR="00852442" w:rsidRPr="00852442" w14:paraId="2BBADC06" w14:textId="77777777" w:rsidTr="00852442">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81502" w14:textId="77777777"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Contact for Queries</w:t>
            </w:r>
          </w:p>
        </w:tc>
      </w:tr>
      <w:tr w:rsidR="00852442" w:rsidRPr="00852442" w14:paraId="641736DF" w14:textId="77777777" w:rsidTr="00852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A97940B" w14:textId="77777777" w:rsidR="00852442" w:rsidRPr="00852442" w:rsidRDefault="00540DD3" w:rsidP="00540DD3">
            <w:pPr>
              <w:spacing w:before="240" w:line="360" w:lineRule="auto"/>
              <w:outlineLvl w:val="0"/>
              <w:rPr>
                <w:rFonts w:ascii="Akkurat" w:hAnsi="Akkurat" w:cs="Segoe UI"/>
                <w:b w:val="0"/>
                <w:bCs w:val="0"/>
                <w:kern w:val="36"/>
                <w:sz w:val="28"/>
                <w:szCs w:val="48"/>
              </w:rPr>
            </w:pPr>
            <w:r>
              <w:rPr>
                <w:rFonts w:ascii="Akkurat" w:hAnsi="Akkurat" w:cs="Segoe UI"/>
                <w:bCs w:val="0"/>
                <w:kern w:val="36"/>
                <w:sz w:val="28"/>
                <w:szCs w:val="48"/>
              </w:rPr>
              <w:t>alison</w:t>
            </w:r>
            <w:r w:rsidR="00852442" w:rsidRPr="00B94616">
              <w:rPr>
                <w:rFonts w:ascii="Akkurat" w:hAnsi="Akkurat" w:cs="Segoe UI"/>
                <w:bCs w:val="0"/>
                <w:kern w:val="36"/>
                <w:sz w:val="28"/>
                <w:szCs w:val="48"/>
              </w:rPr>
              <w:t>.</w:t>
            </w:r>
            <w:r>
              <w:rPr>
                <w:rFonts w:ascii="Akkurat" w:hAnsi="Akkurat" w:cs="Segoe UI"/>
                <w:bCs w:val="0"/>
                <w:kern w:val="36"/>
                <w:sz w:val="28"/>
                <w:szCs w:val="48"/>
              </w:rPr>
              <w:t>dowling</w:t>
            </w:r>
            <w:r w:rsidR="00852442" w:rsidRPr="00B94616">
              <w:rPr>
                <w:rFonts w:ascii="Akkurat" w:hAnsi="Akkurat" w:cs="Segoe UI"/>
                <w:bCs w:val="0"/>
                <w:kern w:val="36"/>
                <w:sz w:val="28"/>
                <w:szCs w:val="48"/>
              </w:rPr>
              <w:t>@solsticeartscentre.ie</w:t>
            </w:r>
          </w:p>
        </w:tc>
      </w:tr>
      <w:tr w:rsidR="00852442" w:rsidRPr="00852442" w14:paraId="5E423ED0" w14:textId="77777777" w:rsidTr="00852442">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0F0C9" w14:textId="77777777" w:rsidR="00852442" w:rsidRPr="00852442" w:rsidRDefault="00852442" w:rsidP="00540DD3">
            <w:pPr>
              <w:spacing w:line="360" w:lineRule="auto"/>
              <w:outlineLvl w:val="0"/>
              <w:rPr>
                <w:rFonts w:ascii="Akkurat" w:hAnsi="Akkurat" w:cs="Segoe UI"/>
                <w:b w:val="0"/>
                <w:bCs w:val="0"/>
                <w:kern w:val="36"/>
                <w:sz w:val="48"/>
                <w:szCs w:val="48"/>
              </w:rPr>
            </w:pPr>
            <w:r w:rsidRPr="00540DD3">
              <w:rPr>
                <w:rFonts w:ascii="Akkurat" w:hAnsi="Akkurat" w:cs="Segoe UI"/>
                <w:bCs w:val="0"/>
                <w:kern w:val="36"/>
                <w:sz w:val="28"/>
                <w:szCs w:val="48"/>
              </w:rPr>
              <w:t>Format for submission of quotations</w:t>
            </w:r>
          </w:p>
        </w:tc>
      </w:tr>
      <w:tr w:rsidR="00852442" w:rsidRPr="00852442" w14:paraId="210FB34F" w14:textId="77777777" w:rsidTr="00852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708BB4" w14:textId="77777777" w:rsidR="008018D1" w:rsidRPr="008018D1" w:rsidRDefault="00540DD3" w:rsidP="008018D1">
            <w:pPr>
              <w:pStyle w:val="ListParagraph"/>
              <w:numPr>
                <w:ilvl w:val="0"/>
                <w:numId w:val="26"/>
              </w:numPr>
              <w:spacing w:before="240" w:after="160" w:line="276" w:lineRule="auto"/>
              <w:outlineLvl w:val="0"/>
              <w:rPr>
                <w:rFonts w:ascii="Akkurat" w:hAnsi="Akkurat" w:cs="Segoe UI"/>
                <w:kern w:val="36"/>
                <w:sz w:val="24"/>
                <w:szCs w:val="24"/>
              </w:rPr>
            </w:pPr>
            <w:r w:rsidRPr="008018D1">
              <w:rPr>
                <w:rFonts w:ascii="Akkurat" w:hAnsi="Akkurat" w:cs="Segoe UI"/>
                <w:kern w:val="36"/>
                <w:sz w:val="24"/>
                <w:szCs w:val="24"/>
              </w:rPr>
              <w:t>Use the Quotation Response Document provided</w:t>
            </w:r>
          </w:p>
          <w:p w14:paraId="2EAC3F93" w14:textId="77777777" w:rsidR="00852442" w:rsidRPr="008018D1" w:rsidRDefault="00852442" w:rsidP="008018D1">
            <w:pPr>
              <w:pStyle w:val="ListParagraph"/>
              <w:numPr>
                <w:ilvl w:val="0"/>
                <w:numId w:val="26"/>
              </w:numPr>
              <w:spacing w:line="276" w:lineRule="auto"/>
              <w:outlineLvl w:val="0"/>
              <w:rPr>
                <w:rFonts w:ascii="Akkurat" w:hAnsi="Akkurat" w:cs="Segoe UI"/>
                <w:kern w:val="36"/>
                <w:sz w:val="32"/>
                <w:szCs w:val="32"/>
              </w:rPr>
            </w:pPr>
            <w:r w:rsidRPr="008018D1">
              <w:rPr>
                <w:rFonts w:ascii="Akkurat" w:hAnsi="Akkurat" w:cs="Segoe UI"/>
                <w:kern w:val="36"/>
                <w:sz w:val="24"/>
                <w:szCs w:val="24"/>
              </w:rPr>
              <w:t xml:space="preserve">One digital PDF of requested </w:t>
            </w:r>
            <w:r w:rsidR="008018D1" w:rsidRPr="008018D1">
              <w:rPr>
                <w:rFonts w:ascii="Akkurat" w:hAnsi="Akkurat" w:cs="Segoe UI"/>
                <w:kern w:val="36"/>
                <w:sz w:val="24"/>
                <w:szCs w:val="24"/>
              </w:rPr>
              <w:t>no longer than 20 pages</w:t>
            </w:r>
          </w:p>
        </w:tc>
      </w:tr>
    </w:tbl>
    <w:p w14:paraId="725EAD6C" w14:textId="77777777" w:rsidR="00852442" w:rsidRDefault="00852442" w:rsidP="00852442">
      <w:pPr>
        <w:spacing w:after="0" w:line="240" w:lineRule="auto"/>
        <w:rPr>
          <w:rFonts w:ascii="Cambria" w:eastAsia="Times New Roman" w:hAnsi="Cambria" w:cs="Cavolini"/>
          <w:b/>
          <w:bCs/>
          <w:color w:val="FFFFFF" w:themeColor="background1"/>
          <w:sz w:val="28"/>
          <w:szCs w:val="28"/>
        </w:rPr>
      </w:pPr>
    </w:p>
    <w:p w14:paraId="352FEC44" w14:textId="77777777" w:rsidR="00B94616" w:rsidRPr="00C6282F" w:rsidRDefault="008018D1" w:rsidP="00C6282F">
      <w:pPr>
        <w:rPr>
          <w:rFonts w:ascii="Cambria" w:eastAsia="Times New Roman" w:hAnsi="Cambria" w:cs="Cavolini"/>
          <w:highlight w:val="yellow"/>
        </w:rPr>
      </w:pPr>
      <w:r w:rsidRPr="00C213E8">
        <w:rPr>
          <w:rFonts w:ascii="Akkurat" w:eastAsia="Times New Roman" w:hAnsi="Akkurat" w:cs="Segoe UI"/>
          <w:noProof/>
          <w:sz w:val="21"/>
          <w:szCs w:val="21"/>
          <w:lang w:eastAsia="en-IE"/>
        </w:rPr>
        <w:drawing>
          <wp:anchor distT="0" distB="0" distL="114300" distR="114300" simplePos="0" relativeHeight="251661312" behindDoc="0" locked="0" layoutInCell="1" allowOverlap="1" wp14:anchorId="46CF9E68" wp14:editId="25FCE67B">
            <wp:simplePos x="0" y="0"/>
            <wp:positionH relativeFrom="column">
              <wp:posOffset>-7620</wp:posOffset>
            </wp:positionH>
            <wp:positionV relativeFrom="paragraph">
              <wp:posOffset>877564</wp:posOffset>
            </wp:positionV>
            <wp:extent cx="2750884" cy="358140"/>
            <wp:effectExtent l="0" t="0" r="0" b="3810"/>
            <wp:wrapSquare wrapText="bothSides"/>
            <wp:docPr id="8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0884" cy="358140"/>
                    </a:xfrm>
                    <a:prstGeom prst="rect">
                      <a:avLst/>
                    </a:prstGeom>
                  </pic:spPr>
                </pic:pic>
              </a:graphicData>
            </a:graphic>
            <wp14:sizeRelH relativeFrom="page">
              <wp14:pctWidth>0</wp14:pctWidth>
            </wp14:sizeRelH>
            <wp14:sizeRelV relativeFrom="page">
              <wp14:pctHeight>0</wp14:pctHeight>
            </wp14:sizeRelV>
          </wp:anchor>
        </w:drawing>
      </w:r>
      <w:r>
        <w:rPr>
          <w:rFonts w:ascii="Akkurat" w:eastAsia="Times New Roman" w:hAnsi="Akkurat" w:cs="Segoe UI"/>
          <w:noProof/>
          <w:sz w:val="21"/>
          <w:szCs w:val="21"/>
          <w:lang w:eastAsia="en-IE"/>
        </w:rPr>
        <w:drawing>
          <wp:anchor distT="0" distB="0" distL="114300" distR="114300" simplePos="0" relativeHeight="251662336" behindDoc="0" locked="0" layoutInCell="1" allowOverlap="1" wp14:anchorId="7222C955" wp14:editId="3B92BB1D">
            <wp:simplePos x="0" y="0"/>
            <wp:positionH relativeFrom="column">
              <wp:posOffset>4847590</wp:posOffset>
            </wp:positionH>
            <wp:positionV relativeFrom="paragraph">
              <wp:posOffset>796301</wp:posOffset>
            </wp:positionV>
            <wp:extent cx="1311275" cy="52006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rs logos.jpg"/>
                    <pic:cNvPicPr/>
                  </pic:nvPicPr>
                  <pic:blipFill rotWithShape="1">
                    <a:blip r:embed="rId9">
                      <a:extLst>
                        <a:ext uri="{28A0092B-C50C-407E-A947-70E740481C1C}">
                          <a14:useLocalDpi xmlns:a14="http://schemas.microsoft.com/office/drawing/2010/main" val="0"/>
                        </a:ext>
                      </a:extLst>
                    </a:blip>
                    <a:srcRect r="60096"/>
                    <a:stretch/>
                  </pic:blipFill>
                  <pic:spPr bwMode="auto">
                    <a:xfrm>
                      <a:off x="0" y="0"/>
                      <a:ext cx="1311275" cy="520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2442">
        <w:rPr>
          <w:rFonts w:ascii="Cambria" w:eastAsia="Times New Roman" w:hAnsi="Cambria" w:cs="Cavolini"/>
          <w:highlight w:val="yellow"/>
        </w:rPr>
        <w:br w:type="page"/>
      </w:r>
    </w:p>
    <w:p w14:paraId="0A87B310" w14:textId="77777777" w:rsidR="00B94616" w:rsidRPr="0005065D" w:rsidRDefault="00B94616" w:rsidP="00B94616">
      <w:pPr>
        <w:spacing w:after="0" w:line="240" w:lineRule="auto"/>
        <w:outlineLvl w:val="1"/>
        <w:rPr>
          <w:rFonts w:ascii="Akkurat" w:eastAsia="Times New Roman" w:hAnsi="Akkurat" w:cs="Segoe UI"/>
          <w:b/>
          <w:bCs/>
          <w:sz w:val="28"/>
          <w:szCs w:val="28"/>
          <w:lang w:eastAsia="en-IE"/>
        </w:rPr>
      </w:pPr>
      <w:r w:rsidRPr="0005065D">
        <w:rPr>
          <w:rFonts w:ascii="Akkurat" w:eastAsia="Times New Roman" w:hAnsi="Akkurat" w:cs="Segoe UI"/>
          <w:b/>
          <w:bCs/>
          <w:sz w:val="28"/>
          <w:szCs w:val="28"/>
          <w:lang w:eastAsia="en-IE"/>
        </w:rPr>
        <w:lastRenderedPageBreak/>
        <w:t>Contents</w:t>
      </w:r>
    </w:p>
    <w:p w14:paraId="12ED35CC" w14:textId="40ED9E53" w:rsidR="00852442" w:rsidRPr="0005065D" w:rsidRDefault="00852442" w:rsidP="0005065D">
      <w:pPr>
        <w:pStyle w:val="TOC1"/>
        <w:tabs>
          <w:tab w:val="clear" w:pos="8789"/>
          <w:tab w:val="clear" w:pos="8931"/>
          <w:tab w:val="left" w:pos="9214"/>
        </w:tabs>
        <w:rPr>
          <w:rStyle w:val="Hyperlink"/>
          <w:color w:val="auto"/>
          <w:sz w:val="20"/>
        </w:rPr>
      </w:pPr>
      <w:hyperlink w:anchor="_Toc66368897" w:history="1">
        <w:r w:rsidRPr="0005065D">
          <w:rPr>
            <w:rStyle w:val="Hyperlink"/>
            <w:color w:val="auto"/>
            <w:sz w:val="20"/>
          </w:rPr>
          <w:t>1</w:t>
        </w:r>
        <w:r w:rsidR="0071184A" w:rsidRPr="0005065D">
          <w:rPr>
            <w:rStyle w:val="Hyperlink"/>
            <w:color w:val="auto"/>
            <w:sz w:val="20"/>
          </w:rPr>
          <w:t>.</w:t>
        </w:r>
        <w:r w:rsidRPr="0005065D">
          <w:rPr>
            <w:rStyle w:val="Hyperlink"/>
            <w:color w:val="auto"/>
            <w:sz w:val="20"/>
          </w:rPr>
          <w:tab/>
        </w:r>
        <w:r w:rsidR="00B94616" w:rsidRPr="0005065D">
          <w:rPr>
            <w:rStyle w:val="Hyperlink"/>
            <w:color w:val="auto"/>
            <w:sz w:val="20"/>
          </w:rPr>
          <w:t>Background and Context/Contracting Company</w:t>
        </w:r>
        <w:r w:rsidR="00B94616" w:rsidRPr="0005065D">
          <w:rPr>
            <w:rStyle w:val="Hyperlink"/>
            <w:webHidden/>
            <w:color w:val="auto"/>
            <w:sz w:val="20"/>
          </w:rPr>
          <w:tab/>
        </w:r>
      </w:hyperlink>
    </w:p>
    <w:p w14:paraId="31358370" w14:textId="77777777" w:rsidR="00A34876" w:rsidRPr="0005065D" w:rsidRDefault="00B94616" w:rsidP="0005065D">
      <w:pPr>
        <w:pStyle w:val="ListParagraph"/>
        <w:numPr>
          <w:ilvl w:val="1"/>
          <w:numId w:val="25"/>
        </w:numPr>
        <w:tabs>
          <w:tab w:val="left" w:pos="1134"/>
          <w:tab w:val="left" w:pos="9214"/>
        </w:tabs>
        <w:spacing w:before="100" w:beforeAutospacing="1" w:after="100" w:afterAutospacing="1" w:line="240" w:lineRule="auto"/>
        <w:outlineLvl w:val="1"/>
        <w:rPr>
          <w:rFonts w:ascii="Akkurat" w:hAnsi="Akkurat"/>
          <w:sz w:val="18"/>
          <w:szCs w:val="20"/>
          <w:lang w:val="en-GB"/>
        </w:rPr>
      </w:pPr>
      <w:r w:rsidRPr="0005065D">
        <w:rPr>
          <w:rStyle w:val="Hyperlink"/>
          <w:rFonts w:ascii="Akkurat" w:eastAsia="Calibri" w:hAnsi="Akkurat" w:cs="Cavolini"/>
          <w:noProof/>
          <w:color w:val="auto"/>
          <w:sz w:val="18"/>
          <w:szCs w:val="20"/>
          <w:lang w:val="en-GB"/>
        </w:rPr>
        <w:t>Meath Arts Centre DAC Ltd</w:t>
      </w:r>
      <w:r w:rsidRPr="0005065D">
        <w:rPr>
          <w:rStyle w:val="Hyperlink"/>
          <w:rFonts w:ascii="Akkurat" w:eastAsia="Calibri" w:hAnsi="Akkurat" w:cs="Cavolini"/>
          <w:noProof/>
          <w:webHidden/>
          <w:color w:val="auto"/>
          <w:sz w:val="18"/>
          <w:szCs w:val="20"/>
          <w:u w:val="dotted"/>
          <w:lang w:val="en-GB"/>
        </w:rPr>
        <w:tab/>
      </w:r>
      <w:r w:rsidRPr="0005065D">
        <w:rPr>
          <w:rFonts w:ascii="Akkurat" w:hAnsi="Akkurat"/>
          <w:sz w:val="18"/>
          <w:szCs w:val="20"/>
          <w:lang w:val="en-GB"/>
        </w:rPr>
        <w:t>3.</w:t>
      </w:r>
    </w:p>
    <w:p w14:paraId="6D003F98" w14:textId="77777777" w:rsidR="00B94616" w:rsidRPr="0005065D" w:rsidRDefault="00B94616" w:rsidP="0005065D">
      <w:pPr>
        <w:pStyle w:val="ListParagraph"/>
        <w:numPr>
          <w:ilvl w:val="1"/>
          <w:numId w:val="25"/>
        </w:numPr>
        <w:tabs>
          <w:tab w:val="left" w:pos="1134"/>
          <w:tab w:val="left" w:pos="9214"/>
        </w:tabs>
        <w:spacing w:before="100" w:beforeAutospacing="1" w:after="100" w:afterAutospacing="1" w:line="300" w:lineRule="atLeast"/>
        <w:outlineLvl w:val="1"/>
        <w:rPr>
          <w:rFonts w:ascii="Akkurat" w:hAnsi="Akkurat"/>
          <w:sz w:val="18"/>
          <w:szCs w:val="20"/>
          <w:lang w:val="en-GB"/>
        </w:rPr>
      </w:pPr>
      <w:r w:rsidRPr="0005065D">
        <w:rPr>
          <w:rStyle w:val="Hyperlink"/>
          <w:rFonts w:ascii="Akkurat" w:eastAsia="Calibri" w:hAnsi="Akkurat" w:cs="Cavolini"/>
          <w:noProof/>
          <w:color w:val="auto"/>
          <w:sz w:val="18"/>
          <w:szCs w:val="20"/>
          <w:lang w:val="en-GB"/>
        </w:rPr>
        <w:t xml:space="preserve">Solstice Arts Centre </w:t>
      </w:r>
      <w:r w:rsidRPr="0005065D">
        <w:rPr>
          <w:rStyle w:val="Hyperlink"/>
          <w:rFonts w:ascii="Akkurat" w:eastAsia="Calibri" w:hAnsi="Akkurat" w:cs="Cavolini"/>
          <w:noProof/>
          <w:webHidden/>
          <w:color w:val="auto"/>
          <w:sz w:val="18"/>
          <w:szCs w:val="20"/>
          <w:u w:val="dotted"/>
          <w:lang w:val="en-GB"/>
        </w:rPr>
        <w:tab/>
      </w:r>
      <w:r w:rsidRPr="0005065D">
        <w:rPr>
          <w:rFonts w:ascii="Akkurat" w:hAnsi="Akkurat"/>
          <w:sz w:val="18"/>
          <w:szCs w:val="20"/>
          <w:lang w:val="en-GB"/>
        </w:rPr>
        <w:t>3.</w:t>
      </w:r>
    </w:p>
    <w:p w14:paraId="3D94973D" w14:textId="77777777" w:rsidR="0071184A" w:rsidRPr="0005065D" w:rsidRDefault="0071184A" w:rsidP="0005065D">
      <w:pPr>
        <w:pStyle w:val="ListParagraph"/>
        <w:numPr>
          <w:ilvl w:val="1"/>
          <w:numId w:val="25"/>
        </w:numPr>
        <w:tabs>
          <w:tab w:val="left" w:pos="1134"/>
          <w:tab w:val="left" w:pos="9214"/>
        </w:tabs>
        <w:spacing w:before="100" w:beforeAutospacing="1" w:after="100" w:afterAutospacing="1" w:line="300" w:lineRule="atLeast"/>
        <w:outlineLvl w:val="1"/>
        <w:rPr>
          <w:rFonts w:ascii="Akkurat" w:hAnsi="Akkurat"/>
          <w:sz w:val="18"/>
          <w:szCs w:val="20"/>
          <w:lang w:val="en-GB"/>
        </w:rPr>
      </w:pPr>
      <w:r w:rsidRPr="0005065D">
        <w:rPr>
          <w:rStyle w:val="Hyperlink"/>
          <w:rFonts w:ascii="Akkurat" w:eastAsia="Calibri" w:hAnsi="Akkurat" w:cs="Cavolini"/>
          <w:noProof/>
          <w:color w:val="auto"/>
          <w:sz w:val="18"/>
          <w:szCs w:val="20"/>
          <w:lang w:val="en-GB"/>
        </w:rPr>
        <w:t xml:space="preserve">Swift Cultural  Centre </w:t>
      </w:r>
      <w:r w:rsidRPr="0005065D">
        <w:rPr>
          <w:rStyle w:val="Hyperlink"/>
          <w:rFonts w:ascii="Akkurat" w:eastAsia="Calibri" w:hAnsi="Akkurat" w:cs="Cavolini"/>
          <w:noProof/>
          <w:webHidden/>
          <w:color w:val="auto"/>
          <w:sz w:val="18"/>
          <w:szCs w:val="20"/>
          <w:u w:val="dotted"/>
          <w:lang w:val="en-GB"/>
        </w:rPr>
        <w:tab/>
      </w:r>
      <w:r w:rsidRPr="0005065D">
        <w:rPr>
          <w:rFonts w:ascii="Akkurat" w:hAnsi="Akkurat"/>
          <w:sz w:val="18"/>
          <w:szCs w:val="20"/>
          <w:lang w:val="en-GB"/>
        </w:rPr>
        <w:t>4.</w:t>
      </w:r>
    </w:p>
    <w:p w14:paraId="087AE418" w14:textId="76DFAC2B" w:rsidR="0071184A" w:rsidRPr="0005065D" w:rsidRDefault="0071184A" w:rsidP="0005065D">
      <w:pPr>
        <w:pStyle w:val="TOC1"/>
        <w:tabs>
          <w:tab w:val="clear" w:pos="8789"/>
          <w:tab w:val="clear" w:pos="8931"/>
          <w:tab w:val="left" w:pos="9214"/>
        </w:tabs>
        <w:rPr>
          <w:rStyle w:val="Hyperlink"/>
          <w:color w:val="auto"/>
          <w:sz w:val="20"/>
        </w:rPr>
      </w:pPr>
      <w:hyperlink w:anchor="_Toc66368900" w:history="1">
        <w:r w:rsidRPr="0005065D">
          <w:rPr>
            <w:rStyle w:val="Hyperlink"/>
            <w:color w:val="auto"/>
            <w:sz w:val="20"/>
          </w:rPr>
          <w:t>2.</w:t>
        </w:r>
        <w:r w:rsidR="00852442" w:rsidRPr="0005065D">
          <w:rPr>
            <w:rStyle w:val="Hyperlink"/>
            <w:color w:val="auto"/>
            <w:sz w:val="20"/>
          </w:rPr>
          <w:tab/>
        </w:r>
        <w:r w:rsidRPr="0005065D">
          <w:rPr>
            <w:rStyle w:val="Hyperlink"/>
            <w:color w:val="auto"/>
            <w:sz w:val="20"/>
          </w:rPr>
          <w:t>Purpose and Objectives of Quotation</w:t>
        </w:r>
        <w:r w:rsidR="00852442" w:rsidRPr="0005065D">
          <w:rPr>
            <w:rStyle w:val="Hyperlink"/>
            <w:webHidden/>
            <w:color w:val="auto"/>
            <w:sz w:val="20"/>
          </w:rPr>
          <w:tab/>
        </w:r>
      </w:hyperlink>
    </w:p>
    <w:p w14:paraId="6D8D1387" w14:textId="77777777" w:rsidR="00852442" w:rsidRPr="0005065D" w:rsidRDefault="00852442" w:rsidP="0005065D">
      <w:pPr>
        <w:tabs>
          <w:tab w:val="left" w:pos="1134"/>
          <w:tab w:val="left" w:pos="9214"/>
        </w:tabs>
        <w:spacing w:before="100" w:beforeAutospacing="1" w:after="100" w:afterAutospacing="1" w:line="240" w:lineRule="auto"/>
        <w:outlineLvl w:val="1"/>
        <w:rPr>
          <w:rStyle w:val="Hyperlink"/>
          <w:rFonts w:ascii="Akkurat" w:eastAsia="Calibri" w:hAnsi="Akkurat" w:cs="Cavolini"/>
          <w:noProof/>
          <w:color w:val="auto"/>
          <w:sz w:val="18"/>
          <w:szCs w:val="20"/>
          <w:lang w:val="en-GB"/>
        </w:rPr>
      </w:pPr>
      <w:hyperlink w:anchor="_Toc66368902" w:history="1">
        <w:r w:rsidRPr="0005065D">
          <w:rPr>
            <w:rStyle w:val="Hyperlink"/>
            <w:rFonts w:ascii="Akkurat" w:eastAsia="Calibri" w:hAnsi="Akkurat" w:cs="Cavolini"/>
            <w:noProof/>
            <w:color w:val="auto"/>
            <w:sz w:val="18"/>
            <w:szCs w:val="20"/>
            <w:lang w:val="en-GB"/>
          </w:rPr>
          <w:t>2.1</w:t>
        </w:r>
        <w:r w:rsidRPr="0005065D">
          <w:rPr>
            <w:rStyle w:val="Hyperlink"/>
            <w:rFonts w:ascii="Akkurat" w:eastAsia="Calibri" w:hAnsi="Akkurat" w:cs="Cavolini"/>
            <w:noProof/>
            <w:color w:val="auto"/>
            <w:sz w:val="18"/>
            <w:szCs w:val="20"/>
            <w:lang w:val="en-GB"/>
          </w:rPr>
          <w:tab/>
        </w:r>
        <w:r w:rsidR="0071184A" w:rsidRPr="0005065D">
          <w:rPr>
            <w:rStyle w:val="Hyperlink"/>
            <w:rFonts w:ascii="Akkurat" w:eastAsia="Calibri" w:hAnsi="Akkurat" w:cs="Cavolini"/>
            <w:noProof/>
            <w:color w:val="auto"/>
            <w:sz w:val="18"/>
            <w:szCs w:val="20"/>
            <w:lang w:val="en-GB"/>
          </w:rPr>
          <w:t>Contract Duration &amp; Timeline</w:t>
        </w:r>
        <w:r w:rsidRPr="0005065D">
          <w:rPr>
            <w:rStyle w:val="Hyperlink"/>
            <w:rFonts w:ascii="Akkurat" w:eastAsia="Calibri" w:hAnsi="Akkurat" w:cs="Cavolini"/>
            <w:noProof/>
            <w:webHidden/>
            <w:color w:val="auto"/>
            <w:sz w:val="18"/>
            <w:szCs w:val="20"/>
            <w:lang w:val="en-GB"/>
          </w:rPr>
          <w:tab/>
        </w:r>
        <w:r w:rsidR="0071184A" w:rsidRPr="0005065D">
          <w:rPr>
            <w:rStyle w:val="Hyperlink"/>
            <w:rFonts w:ascii="Akkurat" w:eastAsia="Calibri" w:hAnsi="Akkurat" w:cs="Cavolini"/>
            <w:noProof/>
            <w:webHidden/>
            <w:color w:val="auto"/>
            <w:sz w:val="18"/>
            <w:szCs w:val="20"/>
            <w:lang w:val="en-GB"/>
          </w:rPr>
          <w:t>5</w:t>
        </w:r>
      </w:hyperlink>
      <w:r w:rsidR="0071184A" w:rsidRPr="0005065D">
        <w:rPr>
          <w:rStyle w:val="Hyperlink"/>
          <w:rFonts w:ascii="Akkurat" w:eastAsia="Calibri" w:hAnsi="Akkurat" w:cs="Cavolini"/>
          <w:noProof/>
          <w:color w:val="auto"/>
          <w:sz w:val="18"/>
          <w:szCs w:val="20"/>
          <w:lang w:val="en-GB"/>
        </w:rPr>
        <w:t>.</w:t>
      </w:r>
    </w:p>
    <w:p w14:paraId="583325B1" w14:textId="77777777" w:rsidR="0071184A" w:rsidRPr="0005065D" w:rsidRDefault="0071184A" w:rsidP="0005065D">
      <w:pPr>
        <w:pStyle w:val="TOC1"/>
        <w:tabs>
          <w:tab w:val="clear" w:pos="8789"/>
          <w:tab w:val="clear" w:pos="8931"/>
          <w:tab w:val="left" w:pos="9214"/>
        </w:tabs>
        <w:rPr>
          <w:rStyle w:val="Hyperlink"/>
          <w:color w:val="auto"/>
          <w:sz w:val="20"/>
        </w:rPr>
      </w:pPr>
      <w:hyperlink w:anchor="_Toc66368903" w:history="1">
        <w:r w:rsidRPr="0005065D">
          <w:rPr>
            <w:rStyle w:val="Hyperlink"/>
            <w:color w:val="auto"/>
            <w:sz w:val="20"/>
          </w:rPr>
          <w:t>3.</w:t>
        </w:r>
        <w:r w:rsidR="00852442" w:rsidRPr="0005065D">
          <w:rPr>
            <w:rStyle w:val="Hyperlink"/>
            <w:color w:val="auto"/>
            <w:sz w:val="20"/>
          </w:rPr>
          <w:tab/>
        </w:r>
        <w:r w:rsidRPr="0005065D">
          <w:rPr>
            <w:rStyle w:val="Hyperlink"/>
            <w:color w:val="auto"/>
            <w:sz w:val="20"/>
          </w:rPr>
          <w:t>Scope of Requirements</w:t>
        </w:r>
        <w:r w:rsidR="00852442" w:rsidRPr="0005065D">
          <w:rPr>
            <w:rStyle w:val="Hyperlink"/>
            <w:webHidden/>
            <w:color w:val="auto"/>
            <w:sz w:val="20"/>
          </w:rPr>
          <w:tab/>
        </w:r>
        <w:r w:rsidRPr="0005065D">
          <w:rPr>
            <w:rStyle w:val="Hyperlink"/>
            <w:webHidden/>
            <w:color w:val="auto"/>
            <w:sz w:val="20"/>
          </w:rPr>
          <w:t>6.</w:t>
        </w:r>
      </w:hyperlink>
    </w:p>
    <w:p w14:paraId="3D39D6AF" w14:textId="77777777" w:rsidR="00852442" w:rsidRPr="0005065D" w:rsidRDefault="0071184A" w:rsidP="0005065D">
      <w:pPr>
        <w:tabs>
          <w:tab w:val="left" w:pos="1134"/>
          <w:tab w:val="left" w:pos="9214"/>
        </w:tabs>
        <w:spacing w:after="0" w:line="240" w:lineRule="auto"/>
        <w:outlineLvl w:val="1"/>
        <w:rPr>
          <w:rStyle w:val="Hyperlink"/>
          <w:rFonts w:ascii="Akkurat" w:eastAsia="Calibri" w:hAnsi="Akkurat"/>
          <w:color w:val="auto"/>
          <w:sz w:val="20"/>
          <w:lang w:val="en-GB"/>
        </w:rPr>
      </w:pPr>
      <w:hyperlink w:anchor="_Toc66368904" w:history="1">
        <w:r w:rsidRPr="0005065D">
          <w:rPr>
            <w:rStyle w:val="Hyperlink"/>
            <w:rFonts w:ascii="Akkurat" w:eastAsia="Calibri" w:hAnsi="Akkurat" w:cs="Cavolini"/>
            <w:noProof/>
            <w:color w:val="auto"/>
            <w:sz w:val="18"/>
            <w:szCs w:val="20"/>
            <w:lang w:val="en-GB"/>
          </w:rPr>
          <w:t>3.1</w:t>
        </w:r>
        <w:r w:rsidR="00852442" w:rsidRPr="0005065D">
          <w:rPr>
            <w:rStyle w:val="Hyperlink"/>
            <w:rFonts w:ascii="Akkurat" w:eastAsia="Calibri" w:hAnsi="Akkurat"/>
            <w:color w:val="auto"/>
            <w:sz w:val="20"/>
            <w:u w:val="none"/>
            <w:lang w:val="en-GB"/>
          </w:rPr>
          <w:tab/>
        </w:r>
        <w:r w:rsidR="006C23CE" w:rsidRPr="0005065D">
          <w:rPr>
            <w:rStyle w:val="Hyperlink"/>
            <w:rFonts w:ascii="Akkurat" w:eastAsia="Calibri" w:hAnsi="Akkurat" w:cs="Cavolini"/>
            <w:noProof/>
            <w:color w:val="auto"/>
            <w:sz w:val="18"/>
            <w:szCs w:val="20"/>
            <w:lang w:val="en-GB"/>
          </w:rPr>
          <w:t>Research &amp; Review</w:t>
        </w:r>
        <w:r w:rsidRPr="0005065D">
          <w:rPr>
            <w:rFonts w:ascii="Akkurat" w:hAnsi="Akkurat"/>
            <w:webHidden/>
            <w:sz w:val="18"/>
            <w:szCs w:val="20"/>
            <w:u w:val="dotted"/>
            <w:lang w:val="en-GB"/>
          </w:rPr>
          <w:tab/>
        </w:r>
        <w:r w:rsidRPr="0005065D">
          <w:rPr>
            <w:rStyle w:val="Hyperlink"/>
            <w:rFonts w:ascii="Akkurat" w:eastAsia="Calibri" w:hAnsi="Akkurat"/>
            <w:webHidden/>
            <w:color w:val="auto"/>
            <w:sz w:val="18"/>
            <w:u w:val="none"/>
            <w:lang w:val="en-GB"/>
          </w:rPr>
          <w:t>6.</w:t>
        </w:r>
      </w:hyperlink>
    </w:p>
    <w:p w14:paraId="6EEDDA2D" w14:textId="77777777" w:rsidR="00852442" w:rsidRPr="0005065D" w:rsidRDefault="0071184A" w:rsidP="0005065D">
      <w:pPr>
        <w:tabs>
          <w:tab w:val="left" w:pos="1134"/>
          <w:tab w:val="left" w:pos="9214"/>
        </w:tabs>
        <w:spacing w:after="0" w:line="240" w:lineRule="auto"/>
        <w:outlineLvl w:val="1"/>
        <w:rPr>
          <w:rStyle w:val="Hyperlink"/>
          <w:rFonts w:ascii="Akkurat" w:eastAsia="Calibri" w:hAnsi="Akkurat"/>
          <w:color w:val="auto"/>
          <w:sz w:val="20"/>
          <w:lang w:val="en-GB"/>
        </w:rPr>
      </w:pPr>
      <w:hyperlink w:anchor="_Toc66368905" w:history="1">
        <w:r w:rsidRPr="0005065D">
          <w:rPr>
            <w:rStyle w:val="Hyperlink"/>
            <w:rFonts w:ascii="Akkurat" w:eastAsia="Calibri" w:hAnsi="Akkurat" w:cs="Cavolini"/>
            <w:noProof/>
            <w:color w:val="auto"/>
            <w:sz w:val="18"/>
            <w:szCs w:val="20"/>
            <w:lang w:val="en-GB"/>
          </w:rPr>
          <w:t>3.2</w:t>
        </w:r>
        <w:r w:rsidR="00852442" w:rsidRPr="0005065D">
          <w:rPr>
            <w:rStyle w:val="Hyperlink"/>
            <w:rFonts w:ascii="Akkurat" w:eastAsia="Calibri" w:hAnsi="Akkurat"/>
            <w:color w:val="auto"/>
            <w:sz w:val="20"/>
            <w:u w:val="none"/>
            <w:lang w:val="en-GB"/>
          </w:rPr>
          <w:tab/>
        </w:r>
        <w:r w:rsidRPr="0005065D">
          <w:rPr>
            <w:rStyle w:val="Hyperlink"/>
            <w:rFonts w:ascii="Akkurat" w:eastAsia="Calibri" w:hAnsi="Akkurat" w:cs="Cavolini"/>
            <w:noProof/>
            <w:color w:val="auto"/>
            <w:sz w:val="18"/>
            <w:szCs w:val="20"/>
            <w:lang w:val="en-GB"/>
          </w:rPr>
          <w:t>Consultant &amp; Stakeholder Engagement</w:t>
        </w:r>
        <w:r w:rsidRPr="0005065D">
          <w:rPr>
            <w:rFonts w:ascii="Akkurat" w:hAnsi="Akkurat"/>
            <w:webHidden/>
            <w:sz w:val="18"/>
            <w:szCs w:val="20"/>
            <w:u w:val="dotted"/>
            <w:lang w:val="en-GB"/>
          </w:rPr>
          <w:tab/>
        </w:r>
        <w:r w:rsidRPr="0005065D">
          <w:rPr>
            <w:rStyle w:val="Hyperlink"/>
            <w:rFonts w:ascii="Akkurat" w:eastAsia="Calibri" w:hAnsi="Akkurat"/>
            <w:webHidden/>
            <w:color w:val="auto"/>
            <w:sz w:val="18"/>
            <w:u w:val="none"/>
            <w:lang w:val="en-GB"/>
          </w:rPr>
          <w:t>6.</w:t>
        </w:r>
      </w:hyperlink>
    </w:p>
    <w:p w14:paraId="35D7F20D" w14:textId="77777777" w:rsidR="00852442" w:rsidRPr="0005065D" w:rsidRDefault="0071184A" w:rsidP="0005065D">
      <w:pPr>
        <w:tabs>
          <w:tab w:val="left" w:pos="1134"/>
          <w:tab w:val="left" w:pos="9214"/>
        </w:tabs>
        <w:spacing w:after="0" w:line="240" w:lineRule="auto"/>
        <w:outlineLvl w:val="1"/>
        <w:rPr>
          <w:rStyle w:val="Hyperlink"/>
          <w:rFonts w:ascii="Akkurat" w:eastAsia="Calibri" w:hAnsi="Akkurat" w:cs="Cavolini"/>
          <w:noProof/>
          <w:webHidden/>
          <w:color w:val="auto"/>
          <w:sz w:val="16"/>
          <w:szCs w:val="20"/>
          <w:u w:val="none"/>
          <w:lang w:val="en-GB"/>
        </w:rPr>
      </w:pPr>
      <w:r w:rsidRPr="0005065D">
        <w:rPr>
          <w:rStyle w:val="Hyperlink"/>
          <w:rFonts w:ascii="Akkurat" w:eastAsia="Calibri" w:hAnsi="Akkurat" w:cs="Cavolini"/>
          <w:noProof/>
          <w:color w:val="auto"/>
          <w:sz w:val="18"/>
          <w:szCs w:val="20"/>
          <w:lang w:val="en-GB"/>
        </w:rPr>
        <w:t>3</w:t>
      </w:r>
      <w:r w:rsidR="00852442" w:rsidRPr="0005065D">
        <w:rPr>
          <w:rStyle w:val="Hyperlink"/>
          <w:rFonts w:ascii="Akkurat" w:eastAsia="Calibri" w:hAnsi="Akkurat" w:cs="Cavolini"/>
          <w:noProof/>
          <w:color w:val="auto"/>
          <w:sz w:val="18"/>
          <w:szCs w:val="20"/>
          <w:lang w:val="en-GB"/>
        </w:rPr>
        <w:t>.</w:t>
      </w:r>
      <w:r w:rsidRPr="0005065D">
        <w:rPr>
          <w:rStyle w:val="Hyperlink"/>
          <w:rFonts w:ascii="Akkurat" w:eastAsia="Calibri" w:hAnsi="Akkurat" w:cs="Cavolini"/>
          <w:noProof/>
          <w:color w:val="auto"/>
          <w:sz w:val="18"/>
          <w:szCs w:val="20"/>
          <w:lang w:val="en-GB"/>
        </w:rPr>
        <w:t>3</w:t>
      </w:r>
      <w:r w:rsidR="00852442" w:rsidRPr="0005065D">
        <w:rPr>
          <w:rStyle w:val="Hyperlink"/>
          <w:rFonts w:ascii="Akkurat" w:eastAsia="Calibri" w:hAnsi="Akkurat"/>
          <w:color w:val="auto"/>
          <w:sz w:val="20"/>
          <w:u w:val="none"/>
          <w:lang w:val="en-GB"/>
        </w:rPr>
        <w:tab/>
      </w:r>
      <w:r w:rsidRPr="0005065D">
        <w:rPr>
          <w:rStyle w:val="Hyperlink"/>
          <w:rFonts w:ascii="Akkurat" w:eastAsia="Calibri" w:hAnsi="Akkurat" w:cs="Cavolini"/>
          <w:noProof/>
          <w:color w:val="auto"/>
          <w:sz w:val="18"/>
          <w:szCs w:val="20"/>
          <w:lang w:val="en-GB"/>
        </w:rPr>
        <w:t>Strategy Development</w:t>
      </w:r>
      <w:r w:rsidRPr="0005065D">
        <w:rPr>
          <w:rFonts w:ascii="Akkurat" w:hAnsi="Akkurat"/>
          <w:webHidden/>
          <w:sz w:val="20"/>
          <w:u w:val="dotted"/>
          <w:lang w:val="en-GB"/>
        </w:rPr>
        <w:tab/>
      </w:r>
      <w:r w:rsidRPr="0005065D">
        <w:rPr>
          <w:rStyle w:val="Hyperlink"/>
          <w:rFonts w:ascii="Akkurat" w:eastAsia="Calibri" w:hAnsi="Akkurat" w:cs="Cavolini"/>
          <w:noProof/>
          <w:webHidden/>
          <w:color w:val="auto"/>
          <w:sz w:val="16"/>
          <w:szCs w:val="20"/>
          <w:u w:val="none"/>
          <w:lang w:val="en-GB"/>
        </w:rPr>
        <w:t>6.</w:t>
      </w:r>
    </w:p>
    <w:p w14:paraId="386DA062" w14:textId="77777777" w:rsidR="006C23CE" w:rsidRPr="0005065D" w:rsidRDefault="006C23CE" w:rsidP="0005065D">
      <w:pPr>
        <w:tabs>
          <w:tab w:val="left" w:pos="1134"/>
          <w:tab w:val="left" w:pos="9214"/>
        </w:tabs>
        <w:spacing w:after="0" w:line="240" w:lineRule="auto"/>
        <w:outlineLvl w:val="1"/>
        <w:rPr>
          <w:rFonts w:ascii="Akkurat" w:hAnsi="Akkurat"/>
          <w:webHidden/>
          <w:sz w:val="18"/>
          <w:szCs w:val="20"/>
          <w:u w:val="dotted"/>
          <w:lang w:val="en-GB"/>
        </w:rPr>
      </w:pPr>
      <w:r w:rsidRPr="0005065D">
        <w:rPr>
          <w:rStyle w:val="Hyperlink"/>
          <w:rFonts w:ascii="Akkurat" w:eastAsia="Calibri" w:hAnsi="Akkurat" w:cs="Cavolini"/>
          <w:noProof/>
          <w:webHidden/>
          <w:color w:val="auto"/>
          <w:sz w:val="18"/>
          <w:szCs w:val="20"/>
          <w:lang w:val="en-GB"/>
        </w:rPr>
        <w:t>3.4</w:t>
      </w:r>
      <w:r w:rsidRPr="0005065D">
        <w:rPr>
          <w:rStyle w:val="Hyperlink"/>
          <w:rFonts w:ascii="Akkurat" w:eastAsia="Calibri" w:hAnsi="Akkurat" w:cs="Cavolini"/>
          <w:noProof/>
          <w:webHidden/>
          <w:color w:val="auto"/>
          <w:sz w:val="18"/>
          <w:szCs w:val="20"/>
          <w:u w:val="none"/>
          <w:lang w:val="en-GB"/>
        </w:rPr>
        <w:tab/>
      </w:r>
      <w:r w:rsidRPr="0005065D">
        <w:rPr>
          <w:rStyle w:val="Hyperlink"/>
          <w:rFonts w:ascii="Akkurat" w:eastAsia="Calibri" w:hAnsi="Akkurat" w:cs="Cavolini"/>
          <w:noProof/>
          <w:webHidden/>
          <w:color w:val="auto"/>
          <w:sz w:val="18"/>
          <w:szCs w:val="20"/>
          <w:lang w:val="en-GB"/>
        </w:rPr>
        <w:t>Finalisation &amp; Adoption</w:t>
      </w:r>
      <w:r w:rsidRPr="0005065D">
        <w:rPr>
          <w:rFonts w:ascii="Akkurat" w:hAnsi="Akkurat"/>
          <w:webHidden/>
          <w:sz w:val="18"/>
          <w:szCs w:val="20"/>
          <w:u w:val="dotted"/>
          <w:lang w:val="en-GB"/>
        </w:rPr>
        <w:tab/>
        <w:t>6</w:t>
      </w:r>
    </w:p>
    <w:p w14:paraId="60AEAA43" w14:textId="77777777" w:rsidR="006C23CE" w:rsidRPr="0005065D" w:rsidRDefault="006C23CE" w:rsidP="0005065D">
      <w:pPr>
        <w:tabs>
          <w:tab w:val="left" w:pos="1134"/>
          <w:tab w:val="left" w:pos="9214"/>
        </w:tabs>
        <w:spacing w:after="0" w:line="240" w:lineRule="auto"/>
        <w:outlineLvl w:val="1"/>
        <w:rPr>
          <w:rFonts w:ascii="Akkurat" w:hAnsi="Akkurat"/>
          <w:webHidden/>
          <w:sz w:val="18"/>
          <w:szCs w:val="20"/>
          <w:u w:val="dotted"/>
          <w:lang w:val="en-GB"/>
        </w:rPr>
      </w:pPr>
      <w:r w:rsidRPr="0005065D">
        <w:rPr>
          <w:rStyle w:val="Hyperlink"/>
          <w:rFonts w:ascii="Akkurat" w:eastAsia="Calibri" w:hAnsi="Akkurat" w:cs="Cavolini"/>
          <w:noProof/>
          <w:webHidden/>
          <w:color w:val="auto"/>
          <w:sz w:val="18"/>
          <w:szCs w:val="20"/>
        </w:rPr>
        <w:t>3.5</w:t>
      </w:r>
      <w:r w:rsidRPr="0005065D">
        <w:rPr>
          <w:rStyle w:val="Hyperlink"/>
          <w:rFonts w:ascii="Akkurat" w:eastAsia="Calibri" w:hAnsi="Akkurat" w:cs="Cavolini"/>
          <w:noProof/>
          <w:webHidden/>
          <w:color w:val="auto"/>
          <w:sz w:val="18"/>
          <w:szCs w:val="20"/>
          <w:u w:val="none"/>
        </w:rPr>
        <w:tab/>
      </w:r>
      <w:r w:rsidRPr="0005065D">
        <w:rPr>
          <w:rStyle w:val="Hyperlink"/>
          <w:rFonts w:ascii="Akkurat" w:eastAsia="Calibri" w:hAnsi="Akkurat" w:cs="Cavolini"/>
          <w:noProof/>
          <w:webHidden/>
          <w:color w:val="auto"/>
          <w:sz w:val="18"/>
          <w:szCs w:val="20"/>
          <w:lang w:val="en-GB"/>
        </w:rPr>
        <w:t>Deliverables</w:t>
      </w:r>
      <w:r w:rsidRPr="0005065D">
        <w:rPr>
          <w:rFonts w:ascii="Akkurat" w:hAnsi="Akkurat"/>
          <w:webHidden/>
          <w:sz w:val="18"/>
          <w:szCs w:val="20"/>
          <w:u w:val="dotted"/>
          <w:lang w:val="en-GB"/>
        </w:rPr>
        <w:tab/>
        <w:t>6.</w:t>
      </w:r>
    </w:p>
    <w:p w14:paraId="27C6C44D" w14:textId="77777777" w:rsidR="006C23CE" w:rsidRPr="0005065D" w:rsidRDefault="006C23CE" w:rsidP="0005065D">
      <w:pPr>
        <w:tabs>
          <w:tab w:val="left" w:pos="1134"/>
          <w:tab w:val="left" w:pos="9214"/>
        </w:tabs>
        <w:spacing w:after="0" w:line="240" w:lineRule="auto"/>
        <w:outlineLvl w:val="1"/>
        <w:rPr>
          <w:rFonts w:ascii="Akkurat" w:hAnsi="Akkurat"/>
          <w:webHidden/>
          <w:sz w:val="18"/>
          <w:szCs w:val="20"/>
          <w:u w:val="dotted"/>
          <w:lang w:val="en-GB"/>
        </w:rPr>
      </w:pPr>
      <w:r w:rsidRPr="0005065D">
        <w:rPr>
          <w:rStyle w:val="Hyperlink"/>
          <w:rFonts w:ascii="Akkurat" w:eastAsia="Calibri" w:hAnsi="Akkurat" w:cs="Cavolini"/>
          <w:noProof/>
          <w:webHidden/>
          <w:color w:val="auto"/>
          <w:sz w:val="18"/>
          <w:szCs w:val="20"/>
        </w:rPr>
        <w:t>3.6</w:t>
      </w:r>
      <w:r w:rsidRPr="0005065D">
        <w:rPr>
          <w:rStyle w:val="Hyperlink"/>
          <w:rFonts w:ascii="Akkurat" w:eastAsia="Calibri" w:hAnsi="Akkurat" w:cs="Cavolini"/>
          <w:noProof/>
          <w:webHidden/>
          <w:color w:val="auto"/>
          <w:sz w:val="18"/>
          <w:szCs w:val="20"/>
          <w:u w:val="none"/>
        </w:rPr>
        <w:tab/>
      </w:r>
      <w:r w:rsidRPr="0005065D">
        <w:rPr>
          <w:rStyle w:val="Hyperlink"/>
          <w:rFonts w:ascii="Akkurat" w:eastAsia="Calibri" w:hAnsi="Akkurat" w:cs="Cavolini"/>
          <w:noProof/>
          <w:webHidden/>
          <w:color w:val="auto"/>
          <w:sz w:val="18"/>
          <w:szCs w:val="20"/>
          <w:lang w:val="en-GB"/>
        </w:rPr>
        <w:t>Review of Performance</w:t>
      </w:r>
      <w:r w:rsidRPr="0005065D">
        <w:rPr>
          <w:rFonts w:ascii="Akkurat" w:hAnsi="Akkurat"/>
          <w:webHidden/>
          <w:sz w:val="18"/>
          <w:szCs w:val="20"/>
          <w:u w:val="dotted"/>
          <w:lang w:val="en-GB"/>
        </w:rPr>
        <w:tab/>
      </w:r>
      <w:r w:rsidR="008212D0">
        <w:rPr>
          <w:rFonts w:ascii="Akkurat" w:hAnsi="Akkurat"/>
          <w:webHidden/>
          <w:sz w:val="18"/>
          <w:szCs w:val="20"/>
          <w:u w:val="dotted"/>
          <w:lang w:val="en-GB"/>
        </w:rPr>
        <w:t>7</w:t>
      </w:r>
      <w:r w:rsidRPr="0005065D">
        <w:rPr>
          <w:rFonts w:ascii="Akkurat" w:hAnsi="Akkurat"/>
          <w:webHidden/>
          <w:sz w:val="18"/>
          <w:szCs w:val="20"/>
          <w:u w:val="dotted"/>
          <w:lang w:val="en-GB"/>
        </w:rPr>
        <w:t>.</w:t>
      </w:r>
    </w:p>
    <w:p w14:paraId="0F659066" w14:textId="77777777" w:rsidR="006C23CE" w:rsidRPr="0005065D" w:rsidRDefault="006C23CE" w:rsidP="0005065D">
      <w:pPr>
        <w:tabs>
          <w:tab w:val="left" w:pos="1134"/>
          <w:tab w:val="left" w:pos="9214"/>
        </w:tabs>
        <w:spacing w:after="0" w:line="240" w:lineRule="auto"/>
        <w:outlineLvl w:val="1"/>
        <w:rPr>
          <w:rStyle w:val="Hyperlink"/>
          <w:rFonts w:ascii="Akkurat" w:hAnsi="Akkurat"/>
          <w:color w:val="auto"/>
          <w:sz w:val="18"/>
          <w:szCs w:val="20"/>
          <w:u w:val="dotted"/>
          <w:lang w:val="en-GB"/>
        </w:rPr>
      </w:pPr>
      <w:r w:rsidRPr="0005065D">
        <w:rPr>
          <w:rStyle w:val="Hyperlink"/>
          <w:rFonts w:ascii="Akkurat" w:eastAsia="Calibri" w:hAnsi="Akkurat" w:cs="Cavolini"/>
          <w:noProof/>
          <w:webHidden/>
          <w:color w:val="auto"/>
          <w:sz w:val="18"/>
          <w:szCs w:val="20"/>
        </w:rPr>
        <w:t>3.7</w:t>
      </w:r>
      <w:r w:rsidRPr="0005065D">
        <w:rPr>
          <w:rStyle w:val="Hyperlink"/>
          <w:rFonts w:ascii="Akkurat" w:eastAsia="Calibri" w:hAnsi="Akkurat" w:cs="Cavolini"/>
          <w:noProof/>
          <w:webHidden/>
          <w:color w:val="auto"/>
          <w:sz w:val="18"/>
          <w:szCs w:val="20"/>
          <w:u w:val="none"/>
        </w:rPr>
        <w:tab/>
      </w:r>
      <w:r w:rsidRPr="0005065D">
        <w:rPr>
          <w:rStyle w:val="Hyperlink"/>
          <w:rFonts w:ascii="Akkurat" w:eastAsia="Calibri" w:hAnsi="Akkurat" w:cs="Cavolini"/>
          <w:noProof/>
          <w:webHidden/>
          <w:color w:val="auto"/>
          <w:sz w:val="18"/>
          <w:szCs w:val="20"/>
          <w:lang w:val="en-GB"/>
        </w:rPr>
        <w:t>Award to Runnerup</w:t>
      </w:r>
      <w:r w:rsidRPr="0005065D">
        <w:rPr>
          <w:rFonts w:ascii="Akkurat" w:hAnsi="Akkurat"/>
          <w:webHidden/>
          <w:sz w:val="18"/>
          <w:szCs w:val="20"/>
          <w:u w:val="dotted"/>
          <w:lang w:val="en-GB"/>
        </w:rPr>
        <w:tab/>
      </w:r>
      <w:r w:rsidR="008212D0">
        <w:rPr>
          <w:rFonts w:ascii="Akkurat" w:hAnsi="Akkurat"/>
          <w:webHidden/>
          <w:sz w:val="18"/>
          <w:szCs w:val="20"/>
          <w:u w:val="dotted"/>
          <w:lang w:val="en-GB"/>
        </w:rPr>
        <w:t>7</w:t>
      </w:r>
      <w:r w:rsidRPr="0005065D">
        <w:rPr>
          <w:rFonts w:ascii="Akkurat" w:hAnsi="Akkurat"/>
          <w:webHidden/>
          <w:sz w:val="18"/>
          <w:szCs w:val="20"/>
          <w:u w:val="dotted"/>
          <w:lang w:val="en-GB"/>
        </w:rPr>
        <w:t>.</w:t>
      </w:r>
    </w:p>
    <w:p w14:paraId="4661450A" w14:textId="77777777" w:rsidR="00852442" w:rsidRPr="0005065D" w:rsidRDefault="006C23CE" w:rsidP="0005065D">
      <w:pPr>
        <w:pStyle w:val="TOC1"/>
        <w:tabs>
          <w:tab w:val="clear" w:pos="8789"/>
          <w:tab w:val="clear" w:pos="8931"/>
          <w:tab w:val="left" w:pos="9214"/>
        </w:tabs>
        <w:rPr>
          <w:rStyle w:val="Hyperlink"/>
          <w:color w:val="auto"/>
          <w:sz w:val="20"/>
        </w:rPr>
      </w:pPr>
      <w:r w:rsidRPr="0005065D">
        <w:rPr>
          <w:rStyle w:val="Hyperlink"/>
          <w:color w:val="auto"/>
          <w:sz w:val="20"/>
        </w:rPr>
        <w:t>4.</w:t>
      </w:r>
      <w:r w:rsidR="00852442" w:rsidRPr="0005065D">
        <w:rPr>
          <w:rStyle w:val="Hyperlink"/>
          <w:color w:val="auto"/>
          <w:sz w:val="20"/>
        </w:rPr>
        <w:tab/>
      </w:r>
      <w:r w:rsidRPr="0005065D">
        <w:rPr>
          <w:rStyle w:val="Hyperlink"/>
          <w:color w:val="auto"/>
          <w:sz w:val="20"/>
        </w:rPr>
        <w:t>Finance</w:t>
      </w:r>
      <w:r w:rsidR="00852442" w:rsidRPr="0005065D">
        <w:rPr>
          <w:rStyle w:val="Hyperlink"/>
          <w:webHidden/>
          <w:color w:val="auto"/>
          <w:sz w:val="20"/>
        </w:rPr>
        <w:tab/>
      </w:r>
      <w:r w:rsidRPr="0005065D">
        <w:rPr>
          <w:rStyle w:val="Hyperlink"/>
          <w:webHidden/>
          <w:color w:val="auto"/>
          <w:sz w:val="20"/>
        </w:rPr>
        <w:t>7</w:t>
      </w:r>
      <w:r w:rsidR="006D0586" w:rsidRPr="0005065D">
        <w:rPr>
          <w:rStyle w:val="Hyperlink"/>
          <w:webHidden/>
          <w:color w:val="auto"/>
          <w:sz w:val="20"/>
        </w:rPr>
        <w:t>.</w:t>
      </w:r>
    </w:p>
    <w:p w14:paraId="1CA25C03" w14:textId="77777777" w:rsidR="00852442" w:rsidRPr="0005065D" w:rsidRDefault="006C23CE"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8" w:history="1">
        <w:r w:rsidRPr="0005065D">
          <w:rPr>
            <w:rStyle w:val="Hyperlink"/>
            <w:rFonts w:ascii="Akkurat" w:eastAsia="Calibri" w:hAnsi="Akkurat" w:cs="Cavolini"/>
            <w:noProof/>
            <w:color w:val="auto"/>
            <w:sz w:val="18"/>
            <w:szCs w:val="20"/>
            <w:lang w:val="en-GB"/>
          </w:rPr>
          <w:t>4</w:t>
        </w:r>
        <w:r w:rsidR="00852442" w:rsidRPr="0005065D">
          <w:rPr>
            <w:rStyle w:val="Hyperlink"/>
            <w:rFonts w:ascii="Akkurat" w:eastAsia="Calibri" w:hAnsi="Akkurat" w:cs="Cavolini"/>
            <w:noProof/>
            <w:color w:val="auto"/>
            <w:sz w:val="18"/>
            <w:szCs w:val="20"/>
            <w:lang w:val="en-GB"/>
          </w:rPr>
          <w:t>.1</w:t>
        </w:r>
        <w:r w:rsidR="00852442"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 xml:space="preserve">Contract </w:t>
        </w:r>
        <w:r w:rsidRPr="0005065D">
          <w:rPr>
            <w:rStyle w:val="Hyperlink"/>
            <w:rFonts w:ascii="Akkurat" w:eastAsia="Calibri" w:hAnsi="Akkurat" w:cs="Cavolini"/>
            <w:noProof/>
            <w:color w:val="auto"/>
            <w:sz w:val="18"/>
            <w:szCs w:val="20"/>
            <w:lang w:val="en-GB"/>
          </w:rPr>
          <w:t>Budget</w:t>
        </w:r>
        <w:r w:rsidR="00852442" w:rsidRPr="0005065D">
          <w:rPr>
            <w:webHidden/>
            <w:sz w:val="20"/>
            <w:u w:val="dotted"/>
            <w:lang w:val="en-GB"/>
          </w:rPr>
          <w:tab/>
        </w:r>
        <w:r w:rsidRPr="0005065D">
          <w:rPr>
            <w:rStyle w:val="Hyperlink"/>
            <w:rFonts w:ascii="Akkurat" w:eastAsia="Calibri" w:hAnsi="Akkurat"/>
            <w:webHidden/>
            <w:color w:val="auto"/>
            <w:sz w:val="18"/>
            <w:szCs w:val="20"/>
            <w:lang w:val="en-GB"/>
          </w:rPr>
          <w:t>7</w:t>
        </w:r>
      </w:hyperlink>
      <w:r w:rsidR="006D0586" w:rsidRPr="0005065D">
        <w:rPr>
          <w:rStyle w:val="Hyperlink"/>
          <w:rFonts w:ascii="Akkurat" w:eastAsia="Calibri" w:hAnsi="Akkurat"/>
          <w:color w:val="auto"/>
          <w:sz w:val="18"/>
          <w:szCs w:val="20"/>
          <w:lang w:val="en-GB"/>
        </w:rPr>
        <w:t>.</w:t>
      </w:r>
    </w:p>
    <w:p w14:paraId="1BB0AE97" w14:textId="77777777" w:rsidR="00852442" w:rsidRPr="0005065D" w:rsidRDefault="006C23CE"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9" w:history="1">
        <w:r w:rsidRPr="0005065D">
          <w:rPr>
            <w:rStyle w:val="Hyperlink"/>
            <w:rFonts w:ascii="Akkurat" w:eastAsia="Calibri" w:hAnsi="Akkurat" w:cs="Cavolini"/>
            <w:noProof/>
            <w:color w:val="auto"/>
            <w:sz w:val="18"/>
            <w:szCs w:val="20"/>
            <w:lang w:val="en-GB"/>
          </w:rPr>
          <w:t>4</w:t>
        </w:r>
        <w:r w:rsidR="00852442" w:rsidRPr="0005065D">
          <w:rPr>
            <w:rStyle w:val="Hyperlink"/>
            <w:rFonts w:ascii="Akkurat" w:eastAsia="Calibri" w:hAnsi="Akkurat" w:cs="Cavolini"/>
            <w:noProof/>
            <w:color w:val="auto"/>
            <w:sz w:val="18"/>
            <w:szCs w:val="20"/>
            <w:lang w:val="en-GB"/>
          </w:rPr>
          <w:t>.2</w:t>
        </w:r>
        <w:r w:rsidR="00852442"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s="Cavolini"/>
            <w:noProof/>
            <w:color w:val="auto"/>
            <w:sz w:val="18"/>
            <w:szCs w:val="20"/>
            <w:lang w:val="en-GB"/>
          </w:rPr>
          <w:t>Account Management</w:t>
        </w:r>
        <w:r w:rsidR="00852442" w:rsidRPr="0005065D">
          <w:rPr>
            <w:rStyle w:val="Hyperlink"/>
            <w:rFonts w:ascii="Akkurat" w:eastAsia="Calibri" w:hAnsi="Akkurat"/>
            <w:webHidden/>
            <w:color w:val="auto"/>
            <w:sz w:val="18"/>
            <w:szCs w:val="20"/>
            <w:u w:val="dotted"/>
            <w:lang w:val="en-GB"/>
          </w:rPr>
          <w:tab/>
        </w:r>
        <w:r w:rsidRPr="0005065D">
          <w:rPr>
            <w:rStyle w:val="Hyperlink"/>
            <w:rFonts w:ascii="Akkurat" w:eastAsia="Calibri" w:hAnsi="Akkurat"/>
            <w:webHidden/>
            <w:color w:val="auto"/>
            <w:sz w:val="18"/>
            <w:szCs w:val="20"/>
            <w:lang w:val="en-GB"/>
          </w:rPr>
          <w:t>7</w:t>
        </w:r>
      </w:hyperlink>
      <w:r w:rsidR="006D0586" w:rsidRPr="0005065D">
        <w:rPr>
          <w:rStyle w:val="Hyperlink"/>
          <w:rFonts w:ascii="Akkurat" w:eastAsia="Calibri" w:hAnsi="Akkurat"/>
          <w:color w:val="auto"/>
          <w:sz w:val="18"/>
          <w:szCs w:val="20"/>
          <w:lang w:val="en-GB"/>
        </w:rPr>
        <w:t>.</w:t>
      </w:r>
    </w:p>
    <w:p w14:paraId="6426A5FA" w14:textId="77777777" w:rsidR="006C23CE" w:rsidRPr="0005065D" w:rsidRDefault="006C23CE"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4.3</w:t>
      </w:r>
      <w:r w:rsidR="006D0586" w:rsidRPr="0005065D">
        <w:rPr>
          <w:rStyle w:val="Hyperlink"/>
          <w:rFonts w:ascii="Akkurat" w:eastAsia="Calibri" w:hAnsi="Akkurat"/>
          <w:color w:val="auto"/>
          <w:sz w:val="18"/>
          <w:szCs w:val="20"/>
          <w:u w:val="none"/>
          <w:lang w:val="en-GB"/>
        </w:rPr>
        <w:tab/>
      </w:r>
      <w:r w:rsidR="006D0586" w:rsidRPr="0005065D">
        <w:rPr>
          <w:rStyle w:val="Hyperlink"/>
          <w:rFonts w:ascii="Akkurat" w:eastAsia="Calibri" w:hAnsi="Akkurat"/>
          <w:color w:val="auto"/>
          <w:sz w:val="18"/>
          <w:szCs w:val="20"/>
          <w:lang w:val="en-GB"/>
        </w:rPr>
        <w:t>Invoicing</w:t>
      </w:r>
      <w:r w:rsidR="006D0586" w:rsidRPr="0005065D">
        <w:rPr>
          <w:rStyle w:val="Hyperlink"/>
          <w:rFonts w:ascii="Akkurat" w:eastAsia="Calibri" w:hAnsi="Akkurat"/>
          <w:color w:val="auto"/>
          <w:sz w:val="18"/>
          <w:szCs w:val="20"/>
          <w:u w:val="dotted"/>
          <w:lang w:val="en-GB"/>
        </w:rPr>
        <w:tab/>
      </w:r>
      <w:r w:rsidR="006D0586" w:rsidRPr="0005065D">
        <w:rPr>
          <w:rStyle w:val="Hyperlink"/>
          <w:rFonts w:ascii="Akkurat" w:eastAsia="Calibri" w:hAnsi="Akkurat"/>
          <w:color w:val="auto"/>
          <w:sz w:val="18"/>
          <w:szCs w:val="20"/>
          <w:lang w:val="en-GB"/>
        </w:rPr>
        <w:t>7.</w:t>
      </w:r>
    </w:p>
    <w:p w14:paraId="39BA60D5" w14:textId="77777777"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4.4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Currency &amp; Payments</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7.</w:t>
      </w:r>
    </w:p>
    <w:p w14:paraId="3E218C44" w14:textId="77777777" w:rsidR="00852442" w:rsidRPr="0005065D" w:rsidRDefault="006D0586" w:rsidP="0005065D">
      <w:pPr>
        <w:pStyle w:val="TOC1"/>
        <w:tabs>
          <w:tab w:val="clear" w:pos="8789"/>
          <w:tab w:val="clear" w:pos="8931"/>
          <w:tab w:val="left" w:pos="9214"/>
        </w:tabs>
        <w:rPr>
          <w:rStyle w:val="Hyperlink"/>
          <w:color w:val="auto"/>
          <w:sz w:val="20"/>
        </w:rPr>
      </w:pPr>
      <w:hyperlink w:anchor="_Toc66368910" w:history="1">
        <w:r w:rsidRPr="0005065D">
          <w:rPr>
            <w:rStyle w:val="Hyperlink"/>
            <w:color w:val="auto"/>
            <w:sz w:val="20"/>
          </w:rPr>
          <w:t>5</w:t>
        </w:r>
        <w:r w:rsidR="00852442" w:rsidRPr="0005065D">
          <w:rPr>
            <w:rStyle w:val="Hyperlink"/>
            <w:color w:val="auto"/>
            <w:sz w:val="20"/>
          </w:rPr>
          <w:tab/>
        </w:r>
        <w:r w:rsidRPr="0005065D">
          <w:rPr>
            <w:rStyle w:val="Hyperlink"/>
            <w:color w:val="auto"/>
            <w:sz w:val="20"/>
          </w:rPr>
          <w:t>Evaluation Criteria</w:t>
        </w:r>
        <w:r w:rsidRPr="0005065D">
          <w:rPr>
            <w:rStyle w:val="Hyperlink"/>
            <w:color w:val="auto"/>
            <w:sz w:val="20"/>
          </w:rPr>
          <w:tab/>
        </w:r>
        <w:r w:rsidRPr="0005065D">
          <w:rPr>
            <w:rStyle w:val="Hyperlink"/>
            <w:webHidden/>
            <w:color w:val="auto"/>
            <w:sz w:val="20"/>
          </w:rPr>
          <w:t>8</w:t>
        </w:r>
      </w:hyperlink>
    </w:p>
    <w:p w14:paraId="280EF215" w14:textId="77777777" w:rsidR="00852442" w:rsidRPr="0005065D" w:rsidRDefault="006D0586" w:rsidP="0005065D">
      <w:pPr>
        <w:tabs>
          <w:tab w:val="left" w:pos="1134"/>
          <w:tab w:val="left" w:pos="9214"/>
        </w:tabs>
        <w:spacing w:after="0" w:line="240" w:lineRule="auto"/>
        <w:outlineLvl w:val="1"/>
        <w:rPr>
          <w:rStyle w:val="Hyperlink"/>
          <w:rFonts w:eastAsia="Calibri"/>
          <w:color w:val="auto"/>
          <w:sz w:val="20"/>
          <w:lang w:val="en-GB"/>
        </w:rPr>
      </w:pPr>
      <w:hyperlink w:anchor="_Toc66368913" w:history="1">
        <w:r w:rsidRPr="0005065D">
          <w:rPr>
            <w:rStyle w:val="Hyperlink"/>
            <w:rFonts w:ascii="Akkurat" w:eastAsia="Calibri" w:hAnsi="Akkurat" w:cs="Cavolini"/>
            <w:noProof/>
            <w:color w:val="auto"/>
            <w:sz w:val="18"/>
            <w:szCs w:val="20"/>
            <w:lang w:val="en-GB"/>
          </w:rPr>
          <w:t>5</w:t>
        </w:r>
        <w:r w:rsidR="00852442" w:rsidRPr="0005065D">
          <w:rPr>
            <w:rStyle w:val="Hyperlink"/>
            <w:rFonts w:ascii="Akkurat" w:eastAsia="Calibri" w:hAnsi="Akkurat" w:cs="Cavolini"/>
            <w:noProof/>
            <w:color w:val="auto"/>
            <w:sz w:val="18"/>
            <w:szCs w:val="20"/>
            <w:lang w:val="en-GB"/>
          </w:rPr>
          <w:t>.1</w:t>
        </w:r>
        <w:r w:rsidR="00852442" w:rsidRPr="0005065D">
          <w:rPr>
            <w:rStyle w:val="Hyperlink"/>
            <w:rFonts w:eastAsia="Calibri"/>
            <w:color w:val="auto"/>
            <w:sz w:val="20"/>
            <w:u w:val="none"/>
            <w:lang w:val="en-GB"/>
          </w:rPr>
          <w:tab/>
        </w:r>
        <w:r w:rsidR="00852442" w:rsidRPr="0005065D">
          <w:rPr>
            <w:rStyle w:val="Hyperlink"/>
            <w:rFonts w:ascii="Akkurat" w:eastAsia="Calibri" w:hAnsi="Akkurat" w:cs="Cavolini"/>
            <w:noProof/>
            <w:color w:val="auto"/>
            <w:sz w:val="18"/>
            <w:szCs w:val="20"/>
            <w:lang w:val="en-GB"/>
          </w:rPr>
          <w:t>Suitability</w:t>
        </w:r>
        <w:r w:rsidRPr="0005065D">
          <w:rPr>
            <w:rFonts w:ascii="Akkurat" w:hAnsi="Akkurat"/>
            <w:webHidden/>
            <w:sz w:val="18"/>
            <w:szCs w:val="20"/>
            <w:u w:val="dotted"/>
            <w:lang w:val="en-GB"/>
          </w:rPr>
          <w:tab/>
        </w:r>
        <w:r w:rsidRPr="0005065D">
          <w:rPr>
            <w:rStyle w:val="Hyperlink"/>
            <w:rFonts w:eastAsia="Calibri"/>
            <w:webHidden/>
            <w:color w:val="auto"/>
            <w:sz w:val="20"/>
            <w:lang w:val="en-GB"/>
          </w:rPr>
          <w:t>8</w:t>
        </w:r>
      </w:hyperlink>
      <w:r w:rsidRPr="0005065D">
        <w:rPr>
          <w:rStyle w:val="Hyperlink"/>
          <w:rFonts w:eastAsia="Calibri"/>
          <w:color w:val="auto"/>
          <w:sz w:val="20"/>
          <w:lang w:val="en-GB"/>
        </w:rPr>
        <w:t>.</w:t>
      </w:r>
    </w:p>
    <w:p w14:paraId="6069E040" w14:textId="77777777" w:rsidR="006D0586" w:rsidRPr="0005065D" w:rsidRDefault="006D0586" w:rsidP="0005065D">
      <w:pPr>
        <w:tabs>
          <w:tab w:val="left" w:pos="1134"/>
          <w:tab w:val="left" w:pos="9214"/>
        </w:tabs>
        <w:spacing w:after="0" w:line="240" w:lineRule="auto"/>
        <w:outlineLvl w:val="1"/>
        <w:rPr>
          <w:rStyle w:val="Hyperlink"/>
          <w:rFonts w:eastAsia="Calibri"/>
          <w:color w:val="auto"/>
          <w:sz w:val="20"/>
          <w:lang w:val="en-GB"/>
        </w:rPr>
      </w:pPr>
      <w:r w:rsidRPr="0005065D">
        <w:rPr>
          <w:rStyle w:val="Hyperlink"/>
          <w:rFonts w:ascii="Akkurat" w:eastAsia="Calibri" w:hAnsi="Akkurat" w:cs="Cavolini"/>
          <w:noProof/>
          <w:color w:val="auto"/>
          <w:sz w:val="18"/>
          <w:szCs w:val="20"/>
          <w:lang w:val="en-GB"/>
        </w:rPr>
        <w:t>5.2</w:t>
      </w:r>
      <w:r w:rsidRPr="0005065D">
        <w:rPr>
          <w:rStyle w:val="Hyperlink"/>
          <w:rFonts w:eastAsia="Calibri"/>
          <w:color w:val="auto"/>
          <w:sz w:val="20"/>
          <w:u w:val="none"/>
          <w:lang w:val="en-GB"/>
        </w:rPr>
        <w:tab/>
      </w:r>
      <w:hyperlink w:anchor="_Toc66368913" w:history="1">
        <w:r w:rsidRPr="0005065D">
          <w:rPr>
            <w:rStyle w:val="Hyperlink"/>
            <w:rFonts w:ascii="Akkurat" w:eastAsia="Calibri" w:hAnsi="Akkurat" w:cs="Cavolini"/>
            <w:noProof/>
            <w:color w:val="auto"/>
            <w:sz w:val="18"/>
            <w:szCs w:val="20"/>
            <w:lang w:val="en-GB"/>
          </w:rPr>
          <w:t>Award Criteria</w:t>
        </w:r>
        <w:r w:rsidRPr="0005065D">
          <w:rPr>
            <w:rFonts w:ascii="Akkurat" w:hAnsi="Akkurat"/>
            <w:webHidden/>
            <w:sz w:val="18"/>
            <w:szCs w:val="20"/>
            <w:u w:val="dotted"/>
            <w:lang w:val="en-GB"/>
          </w:rPr>
          <w:tab/>
        </w:r>
        <w:r w:rsidRPr="0005065D">
          <w:rPr>
            <w:rStyle w:val="Hyperlink"/>
            <w:rFonts w:eastAsia="Calibri"/>
            <w:webHidden/>
            <w:color w:val="auto"/>
            <w:sz w:val="20"/>
            <w:lang w:val="en-GB"/>
          </w:rPr>
          <w:t>8</w:t>
        </w:r>
      </w:hyperlink>
      <w:r w:rsidRPr="0005065D">
        <w:rPr>
          <w:rStyle w:val="Hyperlink"/>
          <w:rFonts w:eastAsia="Calibri"/>
          <w:color w:val="auto"/>
          <w:sz w:val="20"/>
          <w:lang w:val="en-GB"/>
        </w:rPr>
        <w:t>.</w:t>
      </w:r>
    </w:p>
    <w:p w14:paraId="58CCE22C" w14:textId="77777777" w:rsidR="006D0586" w:rsidRPr="0005065D" w:rsidRDefault="006D0586" w:rsidP="0005065D">
      <w:pPr>
        <w:pStyle w:val="TOC1"/>
        <w:tabs>
          <w:tab w:val="clear" w:pos="8789"/>
          <w:tab w:val="clear" w:pos="8931"/>
          <w:tab w:val="left" w:pos="9214"/>
        </w:tabs>
        <w:rPr>
          <w:rStyle w:val="Hyperlink"/>
          <w:color w:val="auto"/>
          <w:sz w:val="20"/>
        </w:rPr>
      </w:pPr>
      <w:hyperlink w:anchor="_Toc66368910" w:history="1">
        <w:r w:rsidRPr="0005065D">
          <w:rPr>
            <w:rStyle w:val="Hyperlink"/>
            <w:color w:val="auto"/>
            <w:sz w:val="20"/>
          </w:rPr>
          <w:t>6.</w:t>
        </w:r>
        <w:r w:rsidRPr="0005065D">
          <w:rPr>
            <w:rStyle w:val="Hyperlink"/>
            <w:color w:val="auto"/>
            <w:sz w:val="20"/>
          </w:rPr>
          <w:tab/>
          <w:t>Contract Submission Response</w:t>
        </w:r>
        <w:r w:rsidRPr="0005065D">
          <w:rPr>
            <w:rStyle w:val="Hyperlink"/>
            <w:color w:val="auto"/>
            <w:sz w:val="20"/>
          </w:rPr>
          <w:tab/>
        </w:r>
        <w:r w:rsidRPr="0005065D">
          <w:rPr>
            <w:rStyle w:val="Hyperlink"/>
            <w:webHidden/>
            <w:color w:val="auto"/>
            <w:sz w:val="20"/>
          </w:rPr>
          <w:t>9</w:t>
        </w:r>
      </w:hyperlink>
      <w:r w:rsidRPr="0005065D">
        <w:rPr>
          <w:rStyle w:val="Hyperlink"/>
          <w:color w:val="auto"/>
          <w:sz w:val="20"/>
        </w:rPr>
        <w:t>.</w:t>
      </w:r>
    </w:p>
    <w:p w14:paraId="470D938A" w14:textId="77777777" w:rsidR="006D0586" w:rsidRPr="0005065D" w:rsidRDefault="006D0586" w:rsidP="0005065D">
      <w:pPr>
        <w:pStyle w:val="TOC1"/>
        <w:tabs>
          <w:tab w:val="clear" w:pos="8789"/>
          <w:tab w:val="clear" w:pos="8931"/>
          <w:tab w:val="left" w:pos="9214"/>
        </w:tabs>
        <w:rPr>
          <w:rStyle w:val="Hyperlink"/>
          <w:color w:val="auto"/>
          <w:sz w:val="20"/>
        </w:rPr>
      </w:pPr>
      <w:r w:rsidRPr="0005065D">
        <w:rPr>
          <w:rStyle w:val="Hyperlink"/>
          <w:color w:val="auto"/>
          <w:sz w:val="20"/>
        </w:rPr>
        <w:t>7.</w:t>
      </w:r>
      <w:r w:rsidRPr="0005065D">
        <w:rPr>
          <w:rStyle w:val="Hyperlink"/>
          <w:color w:val="auto"/>
          <w:sz w:val="20"/>
        </w:rPr>
        <w:tab/>
        <w:t>Submission Details</w:t>
      </w:r>
      <w:r w:rsidRPr="0005065D">
        <w:rPr>
          <w:rStyle w:val="Hyperlink"/>
          <w:webHidden/>
          <w:color w:val="auto"/>
          <w:sz w:val="20"/>
        </w:rPr>
        <w:tab/>
        <w:t>9</w:t>
      </w:r>
      <w:r w:rsidRPr="0005065D">
        <w:rPr>
          <w:rStyle w:val="Hyperlink"/>
          <w:color w:val="auto"/>
          <w:sz w:val="20"/>
        </w:rPr>
        <w:t>.</w:t>
      </w:r>
    </w:p>
    <w:p w14:paraId="6EE20200" w14:textId="77777777" w:rsidR="006D0586" w:rsidRPr="0005065D" w:rsidRDefault="006D0586" w:rsidP="0005065D">
      <w:pPr>
        <w:pStyle w:val="TOC1"/>
        <w:tabs>
          <w:tab w:val="clear" w:pos="8789"/>
          <w:tab w:val="clear" w:pos="8931"/>
          <w:tab w:val="left" w:pos="9214"/>
        </w:tabs>
        <w:rPr>
          <w:rStyle w:val="Hyperlink"/>
          <w:color w:val="auto"/>
          <w:sz w:val="20"/>
        </w:rPr>
      </w:pPr>
      <w:r w:rsidRPr="0005065D">
        <w:rPr>
          <w:rStyle w:val="Hyperlink"/>
          <w:color w:val="auto"/>
          <w:sz w:val="20"/>
        </w:rPr>
        <w:t>8.</w:t>
      </w:r>
      <w:r w:rsidRPr="0005065D">
        <w:rPr>
          <w:rStyle w:val="Hyperlink"/>
          <w:color w:val="auto"/>
          <w:sz w:val="20"/>
        </w:rPr>
        <w:tab/>
      </w:r>
      <w:hyperlink w:anchor="_Toc66368913" w:history="1">
        <w:r w:rsidRPr="0005065D">
          <w:rPr>
            <w:rStyle w:val="Hyperlink"/>
            <w:color w:val="auto"/>
            <w:sz w:val="20"/>
          </w:rPr>
          <w:t>Conditions of Contract Submission</w:t>
        </w:r>
        <w:r w:rsidRPr="0005065D">
          <w:rPr>
            <w:rStyle w:val="Hyperlink"/>
            <w:webHidden/>
            <w:color w:val="auto"/>
            <w:sz w:val="20"/>
          </w:rPr>
          <w:tab/>
          <w:t>10</w:t>
        </w:r>
      </w:hyperlink>
      <w:r w:rsidRPr="0005065D">
        <w:rPr>
          <w:rStyle w:val="Hyperlink"/>
          <w:color w:val="auto"/>
          <w:sz w:val="20"/>
        </w:rPr>
        <w:t>.</w:t>
      </w:r>
    </w:p>
    <w:p w14:paraId="6F73B747" w14:textId="77777777"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8" w:history="1">
        <w:r w:rsidRPr="0005065D">
          <w:rPr>
            <w:rStyle w:val="Hyperlink"/>
            <w:rFonts w:ascii="Akkurat" w:eastAsia="Calibri" w:hAnsi="Akkurat" w:cs="Cavolini"/>
            <w:noProof/>
            <w:color w:val="auto"/>
            <w:sz w:val="18"/>
            <w:szCs w:val="20"/>
            <w:lang w:val="en-GB"/>
          </w:rPr>
          <w:t>8.1</w:t>
        </w:r>
        <w:r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olor w:val="auto"/>
            <w:sz w:val="18"/>
            <w:szCs w:val="20"/>
            <w:lang w:val="en-GB"/>
          </w:rPr>
          <w:t>Confidentiality</w:t>
        </w:r>
        <w:r w:rsidRPr="0005065D">
          <w:rPr>
            <w:webHidden/>
            <w:sz w:val="20"/>
            <w:u w:val="dotted"/>
            <w:lang w:val="en-GB"/>
          </w:rPr>
          <w:tab/>
        </w:r>
        <w:r w:rsidRPr="0005065D">
          <w:rPr>
            <w:rStyle w:val="Hyperlink"/>
            <w:rFonts w:ascii="Akkurat" w:eastAsia="Calibri" w:hAnsi="Akkurat"/>
            <w:webHidden/>
            <w:color w:val="auto"/>
            <w:sz w:val="18"/>
            <w:szCs w:val="20"/>
            <w:lang w:val="en-GB"/>
          </w:rPr>
          <w:t>10</w:t>
        </w:r>
      </w:hyperlink>
      <w:r w:rsidRPr="0005065D">
        <w:rPr>
          <w:rStyle w:val="Hyperlink"/>
          <w:rFonts w:ascii="Akkurat" w:eastAsia="Calibri" w:hAnsi="Akkurat"/>
          <w:color w:val="auto"/>
          <w:sz w:val="18"/>
          <w:szCs w:val="20"/>
          <w:lang w:val="en-GB"/>
        </w:rPr>
        <w:t>.</w:t>
      </w:r>
    </w:p>
    <w:p w14:paraId="454B139B" w14:textId="77777777"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9" w:history="1">
        <w:r w:rsidRPr="0005065D">
          <w:rPr>
            <w:rStyle w:val="Hyperlink"/>
            <w:rFonts w:ascii="Akkurat" w:eastAsia="Calibri" w:hAnsi="Akkurat" w:cs="Cavolini"/>
            <w:noProof/>
            <w:color w:val="auto"/>
            <w:sz w:val="18"/>
            <w:szCs w:val="20"/>
            <w:lang w:val="en-GB"/>
          </w:rPr>
          <w:t>8.2</w:t>
        </w:r>
        <w:r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s="Cavolini"/>
            <w:noProof/>
            <w:color w:val="auto"/>
            <w:sz w:val="18"/>
            <w:szCs w:val="20"/>
            <w:lang w:val="en-GB"/>
          </w:rPr>
          <w:t>Conflict of Interes</w:t>
        </w:r>
        <w:r w:rsidR="008018D1">
          <w:rPr>
            <w:rStyle w:val="Hyperlink"/>
            <w:rFonts w:ascii="Akkurat" w:eastAsia="Calibri" w:hAnsi="Akkurat" w:cs="Cavolini"/>
            <w:noProof/>
            <w:color w:val="auto"/>
            <w:sz w:val="18"/>
            <w:szCs w:val="20"/>
            <w:lang w:val="en-GB"/>
          </w:rPr>
          <w:t>t</w:t>
        </w:r>
        <w:r w:rsidRPr="0005065D">
          <w:rPr>
            <w:rStyle w:val="Hyperlink"/>
            <w:rFonts w:ascii="Akkurat" w:eastAsia="Calibri" w:hAnsi="Akkurat"/>
            <w:webHidden/>
            <w:color w:val="auto"/>
            <w:sz w:val="18"/>
            <w:szCs w:val="20"/>
            <w:u w:val="dotted"/>
            <w:lang w:val="en-GB"/>
          </w:rPr>
          <w:tab/>
        </w:r>
        <w:r w:rsidRPr="0005065D">
          <w:rPr>
            <w:rStyle w:val="Hyperlink"/>
            <w:rFonts w:ascii="Akkurat" w:eastAsia="Calibri" w:hAnsi="Akkurat"/>
            <w:webHidden/>
            <w:color w:val="auto"/>
            <w:sz w:val="18"/>
            <w:szCs w:val="20"/>
            <w:lang w:val="en-GB"/>
          </w:rPr>
          <w:t>10</w:t>
        </w:r>
      </w:hyperlink>
      <w:r w:rsidRPr="0005065D">
        <w:rPr>
          <w:rStyle w:val="Hyperlink"/>
          <w:rFonts w:ascii="Akkurat" w:eastAsia="Calibri" w:hAnsi="Akkurat"/>
          <w:color w:val="auto"/>
          <w:sz w:val="18"/>
          <w:szCs w:val="20"/>
          <w:lang w:val="en-GB"/>
        </w:rPr>
        <w:t>.</w:t>
      </w:r>
    </w:p>
    <w:p w14:paraId="6C3C020A" w14:textId="77777777"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8.3</w:t>
      </w:r>
      <w:r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olor w:val="auto"/>
          <w:sz w:val="18"/>
          <w:szCs w:val="20"/>
          <w:lang w:val="en-GB"/>
        </w:rPr>
        <w:t>Freedom of Information</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10</w:t>
      </w:r>
      <w:r w:rsidR="00C6282F" w:rsidRPr="0005065D">
        <w:rPr>
          <w:rStyle w:val="Hyperlink"/>
          <w:rFonts w:ascii="Akkurat" w:eastAsia="Calibri" w:hAnsi="Akkurat"/>
          <w:color w:val="auto"/>
          <w:sz w:val="18"/>
          <w:szCs w:val="20"/>
          <w:lang w:val="en-GB"/>
        </w:rPr>
        <w:t>.</w:t>
      </w:r>
    </w:p>
    <w:p w14:paraId="55272694" w14:textId="77777777"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8.4 </w:t>
      </w:r>
      <w:r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olor w:val="auto"/>
          <w:sz w:val="18"/>
          <w:szCs w:val="20"/>
          <w:lang w:val="en-GB"/>
        </w:rPr>
        <w:t>Data Protection</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C6282F" w:rsidRPr="0005065D">
        <w:rPr>
          <w:rStyle w:val="Hyperlink"/>
          <w:rFonts w:ascii="Akkurat" w:eastAsia="Calibri" w:hAnsi="Akkurat"/>
          <w:color w:val="auto"/>
          <w:sz w:val="18"/>
          <w:szCs w:val="20"/>
          <w:lang w:val="en-GB"/>
        </w:rPr>
        <w:t>1.</w:t>
      </w:r>
    </w:p>
    <w:p w14:paraId="59FFD9CD" w14:textId="77777777"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8.5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Tax Clearance Certificate</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11.</w:t>
      </w:r>
    </w:p>
    <w:p w14:paraId="475365BD" w14:textId="77777777"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8.6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 xml:space="preserve">Withholding Tax </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11.</w:t>
      </w:r>
    </w:p>
    <w:p w14:paraId="6572DC73" w14:textId="77777777"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8.7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Interference &amp; Inducement to Purchase</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14:paraId="02800AFD" w14:textId="77777777"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8.8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Notifications of Evaluations</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14:paraId="05322BE9" w14:textId="77777777"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8.9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Replacement Personnel</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14:paraId="70CB2C43" w14:textId="77777777"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8.10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Copyright</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14:paraId="3D6DF407" w14:textId="77777777" w:rsid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8.11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Responsibility of Successful Party</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14:paraId="1CDF28F5" w14:textId="77777777" w:rsidR="000E2637" w:rsidRDefault="000E2637"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p>
    <w:p w14:paraId="3E377840" w14:textId="77777777"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p>
    <w:p w14:paraId="710D0291" w14:textId="77777777" w:rsidR="00DC1E0D" w:rsidRPr="0058388A" w:rsidRDefault="00A34876" w:rsidP="0058388A">
      <w:pPr>
        <w:spacing w:after="100" w:afterAutospacing="1" w:line="300" w:lineRule="atLeast"/>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lang w:eastAsia="en-IE"/>
        </w:rPr>
        <w:lastRenderedPageBreak/>
        <w:t>1</w:t>
      </w:r>
      <w:r w:rsidR="00DC1E0D" w:rsidRPr="0058388A">
        <w:rPr>
          <w:rFonts w:ascii="Akkurat" w:eastAsia="Times New Roman" w:hAnsi="Akkurat" w:cs="Segoe UI"/>
          <w:b/>
          <w:bCs/>
          <w:sz w:val="32"/>
          <w:szCs w:val="36"/>
          <w:lang w:eastAsia="en-IE"/>
        </w:rPr>
        <w:t>.</w:t>
      </w:r>
      <w:r w:rsidR="0028562F" w:rsidRPr="0058388A">
        <w:rPr>
          <w:rFonts w:ascii="Akkurat" w:eastAsia="Times New Roman" w:hAnsi="Akkurat" w:cs="Segoe UI"/>
          <w:b/>
          <w:bCs/>
          <w:sz w:val="32"/>
          <w:szCs w:val="36"/>
          <w:lang w:eastAsia="en-IE"/>
        </w:rPr>
        <w:tab/>
      </w:r>
      <w:r w:rsidR="00DC1E0D" w:rsidRPr="0058388A">
        <w:rPr>
          <w:rFonts w:ascii="Akkurat" w:eastAsia="Times New Roman" w:hAnsi="Akkurat" w:cs="Segoe UI"/>
          <w:b/>
          <w:bCs/>
          <w:sz w:val="28"/>
          <w:szCs w:val="28"/>
          <w:u w:val="single"/>
          <w:lang w:eastAsia="en-IE"/>
        </w:rPr>
        <w:t>Background &amp; Context</w:t>
      </w:r>
      <w:r w:rsidR="00142B23" w:rsidRPr="0058388A">
        <w:rPr>
          <w:rFonts w:ascii="Akkurat" w:eastAsia="Times New Roman" w:hAnsi="Akkurat" w:cs="Segoe UI"/>
          <w:b/>
          <w:bCs/>
          <w:sz w:val="28"/>
          <w:szCs w:val="28"/>
          <w:u w:val="single"/>
          <w:lang w:eastAsia="en-IE"/>
        </w:rPr>
        <w:t>/Contracting Company</w:t>
      </w:r>
      <w:r w:rsidR="0058388A" w:rsidRPr="0058388A">
        <w:rPr>
          <w:rFonts w:ascii="Akkurat" w:eastAsia="Times New Roman" w:hAnsi="Akkurat" w:cs="Segoe UI"/>
          <w:b/>
          <w:bCs/>
          <w:sz w:val="28"/>
          <w:szCs w:val="28"/>
          <w:u w:val="single"/>
          <w:lang w:eastAsia="en-IE"/>
        </w:rPr>
        <w:tab/>
      </w:r>
      <w:r w:rsidR="0058388A" w:rsidRPr="0058388A">
        <w:rPr>
          <w:rFonts w:ascii="Akkurat" w:eastAsia="Times New Roman" w:hAnsi="Akkurat" w:cs="Segoe UI"/>
          <w:b/>
          <w:bCs/>
          <w:sz w:val="28"/>
          <w:szCs w:val="28"/>
          <w:u w:val="single"/>
          <w:lang w:eastAsia="en-IE"/>
        </w:rPr>
        <w:tab/>
      </w:r>
      <w:r w:rsidR="0058388A" w:rsidRPr="0058388A">
        <w:rPr>
          <w:rFonts w:ascii="Akkurat" w:eastAsia="Times New Roman" w:hAnsi="Akkurat" w:cs="Segoe UI"/>
          <w:b/>
          <w:bCs/>
          <w:sz w:val="28"/>
          <w:szCs w:val="28"/>
          <w:u w:val="single"/>
          <w:lang w:eastAsia="en-IE"/>
        </w:rPr>
        <w:tab/>
      </w:r>
      <w:r w:rsidR="008212D0">
        <w:rPr>
          <w:rFonts w:ascii="Akkurat" w:eastAsia="Times New Roman" w:hAnsi="Akkurat" w:cs="Segoe UI"/>
          <w:b/>
          <w:bCs/>
          <w:sz w:val="28"/>
          <w:szCs w:val="28"/>
          <w:u w:val="single"/>
          <w:lang w:eastAsia="en-IE"/>
        </w:rPr>
        <w:tab/>
      </w:r>
    </w:p>
    <w:p w14:paraId="1B287448" w14:textId="77777777" w:rsidR="0005065D" w:rsidRPr="0058388A" w:rsidRDefault="00A34876" w:rsidP="0058388A">
      <w:pPr>
        <w:tabs>
          <w:tab w:val="left" w:pos="1134"/>
        </w:tabs>
        <w:spacing w:before="240" w:after="0" w:line="300" w:lineRule="atLeast"/>
        <w:ind w:left="709" w:hanging="709"/>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1</w:t>
      </w:r>
      <w:r w:rsidR="00A65664" w:rsidRPr="0058388A">
        <w:rPr>
          <w:rFonts w:ascii="Akkurat" w:eastAsia="Times New Roman" w:hAnsi="Akkurat" w:cs="Segoe UI"/>
          <w:b/>
          <w:bCs/>
          <w:sz w:val="24"/>
          <w:szCs w:val="24"/>
          <w:lang w:eastAsia="en-IE"/>
        </w:rPr>
        <w:t>.1</w:t>
      </w:r>
      <w:r w:rsidR="0005065D" w:rsidRPr="0058388A">
        <w:rPr>
          <w:rFonts w:ascii="Akkurat" w:eastAsia="Times New Roman" w:hAnsi="Akkurat" w:cs="Segoe UI"/>
          <w:b/>
          <w:bCs/>
          <w:sz w:val="24"/>
          <w:szCs w:val="24"/>
          <w:lang w:eastAsia="en-IE"/>
        </w:rPr>
        <w:tab/>
      </w:r>
      <w:r w:rsidR="00A65664" w:rsidRPr="0058388A">
        <w:rPr>
          <w:rFonts w:ascii="Akkurat" w:eastAsia="Times New Roman" w:hAnsi="Akkurat" w:cs="Segoe UI"/>
          <w:b/>
          <w:bCs/>
          <w:sz w:val="24"/>
          <w:szCs w:val="24"/>
          <w:lang w:eastAsia="en-IE"/>
        </w:rPr>
        <w:t>Meath</w:t>
      </w:r>
      <w:r w:rsidR="00DC1E0D" w:rsidRPr="0058388A">
        <w:rPr>
          <w:rFonts w:ascii="Akkurat" w:eastAsia="Times New Roman" w:hAnsi="Akkurat" w:cs="Segoe UI"/>
          <w:b/>
          <w:bCs/>
          <w:sz w:val="24"/>
          <w:szCs w:val="24"/>
          <w:lang w:eastAsia="en-IE"/>
        </w:rPr>
        <w:t xml:space="preserve"> Arts Centre DAC Ltd. </w:t>
      </w:r>
    </w:p>
    <w:p w14:paraId="7A01AE84" w14:textId="77777777" w:rsidR="00311024" w:rsidRPr="008018D1" w:rsidRDefault="00C818DA" w:rsidP="008018D1">
      <w:pPr>
        <w:spacing w:before="100" w:beforeAutospacing="1" w:line="300" w:lineRule="atLeast"/>
        <w:ind w:left="709"/>
        <w:outlineLvl w:val="2"/>
        <w:rPr>
          <w:rFonts w:ascii="Akkurat" w:eastAsia="Times New Roman" w:hAnsi="Akkurat" w:cs="Segoe UI"/>
          <w:lang w:eastAsia="en-IE"/>
        </w:rPr>
      </w:pPr>
      <w:r w:rsidRPr="00142B23">
        <w:rPr>
          <w:rFonts w:ascii="Akkurat" w:eastAsia="Times New Roman" w:hAnsi="Akkurat" w:cs="Segoe UI"/>
          <w:b/>
          <w:lang w:eastAsia="en-IE"/>
        </w:rPr>
        <w:t>MAC DAC Ltd.</w:t>
      </w:r>
      <w:r w:rsidRPr="00311024">
        <w:rPr>
          <w:rFonts w:ascii="Akkurat" w:eastAsia="Times New Roman" w:hAnsi="Akkurat" w:cs="Segoe UI"/>
          <w:lang w:eastAsia="en-IE"/>
        </w:rPr>
        <w:t xml:space="preserve"> is the operational company responsible for the management of Solstice Arts Centre and Swift Cultural Centre. The company is wholly owned by Meath County Council and operates as a registered charity. Its </w:t>
      </w:r>
      <w:r w:rsidR="00047571">
        <w:rPr>
          <w:rFonts w:ascii="Akkurat" w:eastAsia="Times New Roman" w:hAnsi="Akkurat" w:cs="Segoe UI"/>
          <w:lang w:eastAsia="en-IE"/>
        </w:rPr>
        <w:t xml:space="preserve">stated </w:t>
      </w:r>
      <w:r w:rsidRPr="00311024">
        <w:rPr>
          <w:rFonts w:ascii="Akkurat" w:eastAsia="Times New Roman" w:hAnsi="Akkurat" w:cs="Segoe UI"/>
          <w:lang w:eastAsia="en-IE"/>
        </w:rPr>
        <w:t xml:space="preserve">mission is </w:t>
      </w:r>
    </w:p>
    <w:p w14:paraId="2D90FF48" w14:textId="77777777" w:rsidR="00C818DA" w:rsidRPr="00311024" w:rsidRDefault="00C818DA" w:rsidP="008018D1">
      <w:pPr>
        <w:spacing w:after="0" w:line="300" w:lineRule="atLeast"/>
        <w:ind w:left="709"/>
        <w:rPr>
          <w:rFonts w:ascii="Akkurat" w:eastAsia="Times New Roman" w:hAnsi="Akkurat" w:cs="Segoe UI"/>
          <w:lang w:eastAsia="en-IE"/>
        </w:rPr>
      </w:pPr>
      <w:r w:rsidRPr="00311024">
        <w:rPr>
          <w:rFonts w:ascii="Akkurat" w:eastAsia="Times New Roman" w:hAnsi="Akkurat" w:cs="Segoe UI"/>
          <w:i/>
          <w:iCs/>
          <w:lang w:eastAsia="en-IE"/>
        </w:rPr>
        <w:t>to advance education in the arts through the management and operation of arts centres, thereby providing, developing, and enhancing appreciation of the arts in County Meath, including visual arts, literature, music, theatre/drama, dance, and film, while increasing access to and participation in the arts in line with Meath County Council’s Arts Development Strategy</w:t>
      </w:r>
      <w:r w:rsidRPr="00311024">
        <w:rPr>
          <w:rFonts w:ascii="Akkurat" w:eastAsia="Times New Roman" w:hAnsi="Akkurat" w:cs="Segoe UI"/>
          <w:lang w:eastAsia="en-IE"/>
        </w:rPr>
        <w:t>.</w:t>
      </w:r>
    </w:p>
    <w:p w14:paraId="2E9E346A" w14:textId="77777777" w:rsidR="00C818DA" w:rsidRPr="00311024" w:rsidRDefault="00C818DA" w:rsidP="008018D1">
      <w:pPr>
        <w:spacing w:before="100" w:beforeAutospacing="1" w:after="100" w:afterAutospacing="1" w:line="300" w:lineRule="atLeast"/>
        <w:ind w:left="709"/>
        <w:rPr>
          <w:rFonts w:ascii="Akkurat" w:eastAsia="Times New Roman" w:hAnsi="Akkurat" w:cs="Segoe UI"/>
          <w:lang w:eastAsia="en-IE"/>
        </w:rPr>
      </w:pPr>
      <w:r w:rsidRPr="00311024">
        <w:rPr>
          <w:rFonts w:ascii="Akkurat" w:eastAsia="Times New Roman" w:hAnsi="Akkurat" w:cs="Segoe UI"/>
          <w:lang w:eastAsia="en-IE"/>
        </w:rPr>
        <w:t xml:space="preserve">MAC DAC Ltd. manages a combined annual turnover of €2.2 million, generated through </w:t>
      </w:r>
      <w:r w:rsidR="00D1657D" w:rsidRPr="00311024">
        <w:rPr>
          <w:rFonts w:ascii="Akkurat" w:eastAsia="Times New Roman" w:hAnsi="Akkurat" w:cs="Segoe UI"/>
          <w:lang w:eastAsia="en-IE"/>
        </w:rPr>
        <w:t>both</w:t>
      </w:r>
      <w:r w:rsidRPr="00311024">
        <w:rPr>
          <w:rFonts w:ascii="Akkurat" w:eastAsia="Times New Roman" w:hAnsi="Akkurat" w:cs="Segoe UI"/>
          <w:lang w:eastAsia="en-IE"/>
        </w:rPr>
        <w:t xml:space="preserve"> public funding and earned income. The organisation currently employs 38 staff across its two </w:t>
      </w:r>
      <w:r w:rsidR="00047571">
        <w:rPr>
          <w:rFonts w:ascii="Akkurat" w:eastAsia="Times New Roman" w:hAnsi="Akkurat" w:cs="Segoe UI"/>
          <w:lang w:eastAsia="en-IE"/>
        </w:rPr>
        <w:t>facilities</w:t>
      </w:r>
      <w:r w:rsidRPr="00311024">
        <w:rPr>
          <w:rFonts w:ascii="Akkurat" w:eastAsia="Times New Roman" w:hAnsi="Akkurat" w:cs="Segoe UI"/>
          <w:lang w:eastAsia="en-IE"/>
        </w:rPr>
        <w:t xml:space="preserve"> and plays a significant role in the cultural and creative life of the county. In 2025, Solstice Arts Centre and Swift Cultural Centre welcomed over 157,000 visitors and collectively hosted, facilitated, and produced approximately 700 activities both within their facilities and across County Meath.</w:t>
      </w:r>
    </w:p>
    <w:p w14:paraId="064D9663" w14:textId="77777777" w:rsidR="00C818DA" w:rsidRPr="00311024" w:rsidRDefault="00C818DA" w:rsidP="008018D1">
      <w:pPr>
        <w:spacing w:before="100" w:beforeAutospacing="1" w:after="100" w:afterAutospacing="1" w:line="300" w:lineRule="atLeast"/>
        <w:ind w:left="709"/>
        <w:rPr>
          <w:rFonts w:ascii="Akkurat" w:eastAsia="Times New Roman" w:hAnsi="Akkurat" w:cs="Segoe UI"/>
          <w:lang w:eastAsia="en-IE"/>
        </w:rPr>
      </w:pPr>
      <w:r w:rsidRPr="00311024">
        <w:rPr>
          <w:rFonts w:ascii="Akkurat" w:eastAsia="Times New Roman" w:hAnsi="Akkurat" w:cs="Segoe UI"/>
          <w:lang w:eastAsia="en-IE"/>
        </w:rPr>
        <w:t>Through its dual-centre model, MAC DAC Ltd. supports a broad and ambitious programme of artistic activity, cultural participation, and community engagement, ensuring high-quality arts provision while responding to local need, regional development priorities, and national cultural policy objectives.</w:t>
      </w:r>
    </w:p>
    <w:p w14:paraId="698EF934" w14:textId="77777777" w:rsidR="00DC1E0D" w:rsidRPr="0058388A" w:rsidRDefault="00A34876" w:rsidP="008018D1">
      <w:pPr>
        <w:tabs>
          <w:tab w:val="left" w:pos="709"/>
        </w:tabs>
        <w:spacing w:before="240" w:after="0" w:line="300" w:lineRule="atLeast"/>
        <w:ind w:left="709" w:hanging="709"/>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1</w:t>
      </w:r>
      <w:r w:rsidR="00DC1E0D" w:rsidRPr="0058388A">
        <w:rPr>
          <w:rFonts w:ascii="Akkurat" w:eastAsia="Times New Roman" w:hAnsi="Akkurat" w:cs="Segoe UI"/>
          <w:b/>
          <w:bCs/>
          <w:sz w:val="24"/>
          <w:szCs w:val="24"/>
          <w:lang w:eastAsia="en-IE"/>
        </w:rPr>
        <w:t>.2</w:t>
      </w:r>
      <w:r w:rsidR="0005065D" w:rsidRPr="0058388A">
        <w:rPr>
          <w:rFonts w:ascii="Akkurat" w:eastAsia="Times New Roman" w:hAnsi="Akkurat" w:cs="Segoe UI"/>
          <w:b/>
          <w:bCs/>
          <w:sz w:val="24"/>
          <w:szCs w:val="24"/>
          <w:lang w:eastAsia="en-IE"/>
        </w:rPr>
        <w:tab/>
      </w:r>
      <w:r w:rsidR="00DC1E0D" w:rsidRPr="0058388A">
        <w:rPr>
          <w:rFonts w:ascii="Akkurat" w:eastAsia="Times New Roman" w:hAnsi="Akkurat" w:cs="Segoe UI"/>
          <w:b/>
          <w:bCs/>
          <w:sz w:val="24"/>
          <w:szCs w:val="24"/>
          <w:lang w:eastAsia="en-IE"/>
        </w:rPr>
        <w:t>Solstice Arts Centre</w:t>
      </w:r>
    </w:p>
    <w:p w14:paraId="2CFB244C" w14:textId="77777777" w:rsidR="00534C55" w:rsidRPr="00311024" w:rsidRDefault="00534C55" w:rsidP="008018D1">
      <w:pPr>
        <w:tabs>
          <w:tab w:val="left" w:pos="709"/>
        </w:tabs>
        <w:spacing w:before="240" w:after="100" w:afterAutospacing="1" w:line="300" w:lineRule="atLeast"/>
        <w:ind w:left="709"/>
        <w:rPr>
          <w:rFonts w:ascii="Akkurat" w:eastAsia="Times New Roman" w:hAnsi="Akkurat" w:cs="Segoe UI"/>
          <w:lang w:eastAsia="en-IE"/>
        </w:rPr>
      </w:pPr>
      <w:r w:rsidRPr="00142B23">
        <w:rPr>
          <w:rFonts w:ascii="Akkurat" w:eastAsia="Times New Roman" w:hAnsi="Akkurat" w:cs="Segoe UI"/>
          <w:b/>
          <w:lang w:eastAsia="en-IE"/>
        </w:rPr>
        <w:t>Solstice Arts Centre</w:t>
      </w:r>
      <w:r w:rsidRPr="00311024">
        <w:rPr>
          <w:rFonts w:ascii="Akkurat" w:eastAsia="Times New Roman" w:hAnsi="Akkurat" w:cs="Segoe UI"/>
          <w:lang w:eastAsia="en-IE"/>
        </w:rPr>
        <w:t xml:space="preserve"> is a leading multidisciplinary arts venue based in Navan, County Meath, dedicated to delivering an ambitious and inclusive professional arts programme for local, county-wide, and regional audiences. At the heart of Solstice’s work is a commitment to artistic excellence, access, and connection—</w:t>
      </w:r>
      <w:r w:rsidR="00B54EE1">
        <w:rPr>
          <w:rFonts w:ascii="Akkurat" w:eastAsia="Times New Roman" w:hAnsi="Akkurat" w:cs="Segoe UI"/>
          <w:lang w:eastAsia="en-IE"/>
        </w:rPr>
        <w:t xml:space="preserve">vibrantly </w:t>
      </w:r>
      <w:r w:rsidRPr="00311024">
        <w:rPr>
          <w:rFonts w:ascii="Akkurat" w:eastAsia="Times New Roman" w:hAnsi="Akkurat" w:cs="Segoe UI"/>
          <w:lang w:eastAsia="en-IE"/>
        </w:rPr>
        <w:t xml:space="preserve">bringing together visual arts, live performance, cinema, education, participatory practice, and community engagement </w:t>
      </w:r>
      <w:r w:rsidR="00B54EE1">
        <w:rPr>
          <w:rFonts w:ascii="Akkurat" w:eastAsia="Times New Roman" w:hAnsi="Akkurat" w:cs="Segoe UI"/>
          <w:lang w:eastAsia="en-IE"/>
        </w:rPr>
        <w:t>activities</w:t>
      </w:r>
      <w:r w:rsidRPr="00311024">
        <w:rPr>
          <w:rFonts w:ascii="Akkurat" w:eastAsia="Times New Roman" w:hAnsi="Akkurat" w:cs="Segoe UI"/>
          <w:lang w:eastAsia="en-IE"/>
        </w:rPr>
        <w:t>.</w:t>
      </w:r>
    </w:p>
    <w:p w14:paraId="39AC3A5F" w14:textId="77777777" w:rsidR="00534C55" w:rsidRPr="00311024" w:rsidRDefault="00534C55" w:rsidP="008018D1">
      <w:pPr>
        <w:tabs>
          <w:tab w:val="left" w:pos="709"/>
        </w:tabs>
        <w:spacing w:before="100" w:beforeAutospacing="1" w:after="100" w:afterAutospacing="1" w:line="300" w:lineRule="atLeast"/>
        <w:ind w:left="709"/>
        <w:rPr>
          <w:rFonts w:ascii="Akkurat" w:eastAsia="Times New Roman" w:hAnsi="Akkurat" w:cs="Segoe UI"/>
          <w:lang w:eastAsia="en-IE"/>
        </w:rPr>
      </w:pPr>
      <w:r w:rsidRPr="00311024">
        <w:rPr>
          <w:rFonts w:ascii="Akkurat" w:eastAsia="Times New Roman" w:hAnsi="Akkurat" w:cs="Segoe UI"/>
          <w:lang w:eastAsia="en-IE"/>
        </w:rPr>
        <w:t xml:space="preserve">The centre’s theatre programme reflects this ethos through a carefully considered balance of professional </w:t>
      </w:r>
      <w:r w:rsidR="00C818DA" w:rsidRPr="00311024">
        <w:rPr>
          <w:rFonts w:ascii="Akkurat" w:eastAsia="Times New Roman" w:hAnsi="Akkurat" w:cs="Segoe UI"/>
          <w:lang w:eastAsia="en-IE"/>
        </w:rPr>
        <w:t>arts performance</w:t>
      </w:r>
      <w:r w:rsidRPr="00311024">
        <w:rPr>
          <w:rFonts w:ascii="Akkurat" w:eastAsia="Times New Roman" w:hAnsi="Akkurat" w:cs="Segoe UI"/>
          <w:lang w:eastAsia="en-IE"/>
        </w:rPr>
        <w:t>, commercial hires, and amateur performance</w:t>
      </w:r>
      <w:r w:rsidR="008018D1">
        <w:rPr>
          <w:rFonts w:ascii="Akkurat" w:eastAsia="Times New Roman" w:hAnsi="Akkurat" w:cs="Segoe UI"/>
          <w:lang w:eastAsia="en-IE"/>
        </w:rPr>
        <w:t xml:space="preserve"> that </w:t>
      </w:r>
      <w:r w:rsidRPr="00311024">
        <w:rPr>
          <w:rFonts w:ascii="Akkurat" w:eastAsia="Times New Roman" w:hAnsi="Akkurat" w:cs="Segoe UI"/>
          <w:lang w:eastAsia="en-IE"/>
        </w:rPr>
        <w:t xml:space="preserve">support artistic </w:t>
      </w:r>
      <w:r w:rsidR="00B54EE1" w:rsidRPr="00311024">
        <w:rPr>
          <w:rFonts w:ascii="Akkurat" w:eastAsia="Times New Roman" w:hAnsi="Akkurat" w:cs="Segoe UI"/>
          <w:lang w:eastAsia="en-IE"/>
        </w:rPr>
        <w:t>innovation,</w:t>
      </w:r>
      <w:r w:rsidR="00B54EE1">
        <w:rPr>
          <w:rFonts w:ascii="Akkurat" w:eastAsia="Times New Roman" w:hAnsi="Akkurat" w:cs="Segoe UI"/>
          <w:lang w:eastAsia="en-IE"/>
        </w:rPr>
        <w:t xml:space="preserve"> community and </w:t>
      </w:r>
      <w:r w:rsidRPr="00311024">
        <w:rPr>
          <w:rFonts w:ascii="Akkurat" w:eastAsia="Times New Roman" w:hAnsi="Akkurat" w:cs="Segoe UI"/>
          <w:lang w:eastAsia="en-IE"/>
        </w:rPr>
        <w:t xml:space="preserve">audience development. Solstice’s Visual Arts Programme is nationally recognised for its ambition and depth, engaging with international, national, and local </w:t>
      </w:r>
      <w:r w:rsidR="00B54EE1" w:rsidRPr="00311024">
        <w:rPr>
          <w:rFonts w:ascii="Akkurat" w:eastAsia="Times New Roman" w:hAnsi="Akkurat" w:cs="Segoe UI"/>
          <w:lang w:eastAsia="en-IE"/>
        </w:rPr>
        <w:t>artists,</w:t>
      </w:r>
      <w:r w:rsidRPr="00311024">
        <w:rPr>
          <w:rFonts w:ascii="Akkurat" w:eastAsia="Times New Roman" w:hAnsi="Akkurat" w:cs="Segoe UI"/>
          <w:lang w:eastAsia="en-IE"/>
        </w:rPr>
        <w:t xml:space="preserve"> foregrounding developmental and research-led practice.</w:t>
      </w:r>
    </w:p>
    <w:p w14:paraId="1F482249" w14:textId="77777777" w:rsidR="00C818DA" w:rsidRPr="00B54EE1" w:rsidRDefault="00534C55" w:rsidP="0028562F">
      <w:pPr>
        <w:spacing w:before="100" w:beforeAutospacing="1" w:after="100" w:afterAutospacing="1" w:line="300" w:lineRule="atLeast"/>
        <w:ind w:left="851"/>
        <w:rPr>
          <w:rFonts w:ascii="Akkurat" w:eastAsia="Times New Roman" w:hAnsi="Akkurat" w:cs="Segoe UI"/>
          <w:lang w:eastAsia="en-IE"/>
        </w:rPr>
      </w:pPr>
      <w:r w:rsidRPr="00311024">
        <w:rPr>
          <w:rFonts w:ascii="Akkurat" w:eastAsia="Times New Roman" w:hAnsi="Akkurat" w:cs="Segoe UI"/>
          <w:lang w:eastAsia="en-IE"/>
        </w:rPr>
        <w:lastRenderedPageBreak/>
        <w:t xml:space="preserve">Central to Solstice’s role as a cultural catalyst is its commitment to commissioning new work and supporting artists at all stages of their careers through associate artist initiatives and diversity-focused programmes. The centre actively prioritises meaningful engagement between artists, audiences, and communities, fostering dialogue and shared experience. This commitment is exemplified through </w:t>
      </w:r>
      <w:r w:rsidR="00CB3EA0">
        <w:rPr>
          <w:rFonts w:ascii="Akkurat" w:eastAsia="Times New Roman" w:hAnsi="Akkurat" w:cs="Segoe UI"/>
          <w:lang w:eastAsia="en-IE"/>
        </w:rPr>
        <w:t>‘</w:t>
      </w:r>
      <w:r w:rsidRPr="00311024">
        <w:rPr>
          <w:rFonts w:ascii="Akkurat" w:eastAsia="Times New Roman" w:hAnsi="Akkurat" w:cs="Segoe UI"/>
          <w:lang w:eastAsia="en-IE"/>
        </w:rPr>
        <w:t>Take Me to the River, Solstice’s long-term environmental programme, which</w:t>
      </w:r>
      <w:r w:rsidRPr="00534C55">
        <w:rPr>
          <w:rFonts w:ascii="Akkurat" w:eastAsia="Times New Roman" w:hAnsi="Akkurat" w:cs="Segoe UI"/>
          <w:sz w:val="21"/>
          <w:szCs w:val="21"/>
          <w:lang w:eastAsia="en-IE"/>
        </w:rPr>
        <w:t xml:space="preserve"> encourages creative responses to place, ecology, and sustainability while strengthening public connection to </w:t>
      </w:r>
      <w:r w:rsidR="00345214">
        <w:rPr>
          <w:rFonts w:ascii="Akkurat" w:eastAsia="Times New Roman" w:hAnsi="Akkurat" w:cs="Segoe UI"/>
          <w:sz w:val="21"/>
          <w:szCs w:val="21"/>
          <w:lang w:eastAsia="en-IE"/>
        </w:rPr>
        <w:t>our</w:t>
      </w:r>
      <w:r w:rsidRPr="00534C55">
        <w:rPr>
          <w:rFonts w:ascii="Akkurat" w:eastAsia="Times New Roman" w:hAnsi="Akkurat" w:cs="Segoe UI"/>
          <w:sz w:val="21"/>
          <w:szCs w:val="21"/>
          <w:lang w:eastAsia="en-IE"/>
        </w:rPr>
        <w:t xml:space="preserve"> natural and built environment.</w:t>
      </w:r>
      <w:r w:rsidR="00C818DA" w:rsidRPr="00345214">
        <w:rPr>
          <w:rFonts w:ascii="Akkurat" w:eastAsia="Times New Roman" w:hAnsi="Akkurat" w:cs="Segoe UI"/>
          <w:sz w:val="21"/>
          <w:szCs w:val="21"/>
          <w:lang w:eastAsia="en-IE"/>
        </w:rPr>
        <w:t xml:space="preserve"> </w:t>
      </w:r>
    </w:p>
    <w:p w14:paraId="2D5800D8" w14:textId="77777777" w:rsidR="00C818DA" w:rsidRPr="00311024" w:rsidRDefault="00C818DA" w:rsidP="0028562F">
      <w:pPr>
        <w:spacing w:before="100" w:beforeAutospacing="1" w:after="0" w:line="360" w:lineRule="auto"/>
        <w:ind w:left="851"/>
        <w:rPr>
          <w:rFonts w:ascii="Akkurat" w:eastAsia="Times New Roman" w:hAnsi="Akkurat" w:cs="Segoe UI"/>
          <w:lang w:eastAsia="en-IE"/>
        </w:rPr>
      </w:pPr>
      <w:r w:rsidRPr="00311024">
        <w:rPr>
          <w:rFonts w:ascii="Akkurat" w:eastAsia="Times New Roman" w:hAnsi="Akkurat" w:cs="Segoe UI"/>
          <w:b/>
          <w:lang w:eastAsia="en-IE"/>
        </w:rPr>
        <w:t xml:space="preserve">Designed by </w:t>
      </w:r>
      <w:r w:rsidR="00345214" w:rsidRPr="00311024">
        <w:rPr>
          <w:rFonts w:ascii="Akkurat" w:eastAsia="Times New Roman" w:hAnsi="Akkurat" w:cs="Segoe UI"/>
          <w:b/>
          <w:lang w:eastAsia="en-IE"/>
        </w:rPr>
        <w:t xml:space="preserve">Shelley McNamara of </w:t>
      </w:r>
      <w:r w:rsidRPr="00311024">
        <w:rPr>
          <w:rFonts w:ascii="Akkurat" w:eastAsia="Times New Roman" w:hAnsi="Akkurat" w:cs="Segoe UI"/>
          <w:b/>
          <w:lang w:eastAsia="en-IE"/>
        </w:rPr>
        <w:t>Grafton Architects, facilities include:</w:t>
      </w:r>
      <w:r w:rsidRPr="00311024">
        <w:rPr>
          <w:rFonts w:ascii="Akkurat" w:eastAsia="Times New Roman" w:hAnsi="Akkurat" w:cs="Segoe UI"/>
          <w:lang w:eastAsia="en-IE"/>
        </w:rPr>
        <w:t xml:space="preserve"> </w:t>
      </w:r>
    </w:p>
    <w:p w14:paraId="24252C65" w14:textId="77777777" w:rsidR="00C818DA"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320 seat theatre</w:t>
      </w:r>
    </w:p>
    <w:p w14:paraId="4124F4EF" w14:textId="77777777" w:rsidR="00C818DA"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Three interconnected visual art galleries</w:t>
      </w:r>
    </w:p>
    <w:p w14:paraId="41D55149" w14:textId="77777777" w:rsidR="00C818DA"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A multiuse studio for engagement and local activities</w:t>
      </w:r>
    </w:p>
    <w:p w14:paraId="2F9C3CE8" w14:textId="77777777" w:rsidR="00534C55"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A thriving café which act</w:t>
      </w:r>
      <w:r w:rsidR="00311024">
        <w:rPr>
          <w:rFonts w:ascii="Akkurat" w:eastAsia="Times New Roman" w:hAnsi="Akkurat" w:cs="Segoe UI"/>
          <w:lang w:eastAsia="en-IE"/>
        </w:rPr>
        <w:t>s as an informal communal space</w:t>
      </w:r>
    </w:p>
    <w:p w14:paraId="17D94C87" w14:textId="77777777" w:rsidR="00DC1E0D" w:rsidRPr="0058388A" w:rsidRDefault="00A34876" w:rsidP="0028562F">
      <w:pPr>
        <w:tabs>
          <w:tab w:val="left" w:pos="1134"/>
        </w:tabs>
        <w:spacing w:before="240" w:after="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1</w:t>
      </w:r>
      <w:r w:rsidR="00DC1E0D" w:rsidRPr="0058388A">
        <w:rPr>
          <w:rFonts w:ascii="Akkurat" w:eastAsia="Times New Roman" w:hAnsi="Akkurat" w:cs="Segoe UI"/>
          <w:b/>
          <w:bCs/>
          <w:sz w:val="24"/>
          <w:szCs w:val="24"/>
          <w:lang w:eastAsia="en-IE"/>
        </w:rPr>
        <w:t>.</w:t>
      </w:r>
      <w:r w:rsidRPr="0058388A">
        <w:rPr>
          <w:rFonts w:ascii="Akkurat" w:eastAsia="Times New Roman" w:hAnsi="Akkurat" w:cs="Segoe UI"/>
          <w:b/>
          <w:bCs/>
          <w:sz w:val="24"/>
          <w:szCs w:val="24"/>
          <w:lang w:eastAsia="en-IE"/>
        </w:rPr>
        <w:t>3</w:t>
      </w:r>
      <w:r w:rsidR="0005065D" w:rsidRPr="0058388A">
        <w:rPr>
          <w:rFonts w:ascii="Akkurat" w:eastAsia="Times New Roman" w:hAnsi="Akkurat" w:cs="Segoe UI"/>
          <w:b/>
          <w:bCs/>
          <w:sz w:val="24"/>
          <w:szCs w:val="24"/>
          <w:lang w:eastAsia="en-IE"/>
        </w:rPr>
        <w:tab/>
      </w:r>
      <w:r w:rsidR="00DC1E0D" w:rsidRPr="0058388A">
        <w:rPr>
          <w:rFonts w:ascii="Akkurat" w:eastAsia="Times New Roman" w:hAnsi="Akkurat" w:cs="Segoe UI"/>
          <w:b/>
          <w:bCs/>
          <w:sz w:val="24"/>
          <w:szCs w:val="24"/>
          <w:lang w:eastAsia="en-IE"/>
        </w:rPr>
        <w:t>Swift Cultural Centre</w:t>
      </w:r>
    </w:p>
    <w:p w14:paraId="06598C05" w14:textId="77777777" w:rsidR="004618A4" w:rsidRPr="00B54EE1" w:rsidRDefault="002469D8" w:rsidP="0028562F">
      <w:pPr>
        <w:spacing w:before="100" w:beforeAutospacing="1" w:after="100" w:afterAutospacing="1" w:line="300" w:lineRule="atLeast"/>
        <w:ind w:left="851"/>
        <w:rPr>
          <w:rFonts w:ascii="Akkurat" w:eastAsia="Times New Roman" w:hAnsi="Akkurat" w:cs="Segoe UI"/>
          <w:lang w:eastAsia="en-IE"/>
        </w:rPr>
      </w:pPr>
      <w:r w:rsidRPr="00B54EE1">
        <w:rPr>
          <w:rFonts w:ascii="Akkurat" w:eastAsia="Times New Roman" w:hAnsi="Akkurat" w:cs="Segoe UI"/>
          <w:lang w:eastAsia="en-IE"/>
        </w:rPr>
        <w:t>Constructed</w:t>
      </w:r>
      <w:r w:rsidR="004618A4" w:rsidRPr="00B54EE1">
        <w:rPr>
          <w:rFonts w:ascii="Akkurat" w:eastAsia="Times New Roman" w:hAnsi="Akkurat" w:cs="Segoe UI"/>
          <w:lang w:eastAsia="en-IE"/>
        </w:rPr>
        <w:t xml:space="preserve"> by Meath County Council with funding from the Department of Rural and Community Development in response to a strong local amateur arts sector, </w:t>
      </w:r>
      <w:r w:rsidR="004618A4" w:rsidRPr="00142B23">
        <w:rPr>
          <w:rFonts w:ascii="Akkurat" w:eastAsia="Times New Roman" w:hAnsi="Akkurat" w:cs="Segoe UI"/>
          <w:b/>
          <w:lang w:eastAsia="en-IE"/>
        </w:rPr>
        <w:t>Swift Cultural Centre</w:t>
      </w:r>
      <w:r w:rsidR="004618A4" w:rsidRPr="00B54EE1">
        <w:rPr>
          <w:rFonts w:ascii="Akkurat" w:eastAsia="Times New Roman" w:hAnsi="Akkurat" w:cs="Segoe UI"/>
          <w:lang w:eastAsia="en-IE"/>
        </w:rPr>
        <w:t xml:space="preserve"> is a newly developed cultural and </w:t>
      </w:r>
      <w:r w:rsidR="008018D1">
        <w:rPr>
          <w:rFonts w:ascii="Akkurat" w:eastAsia="Times New Roman" w:hAnsi="Akkurat" w:cs="Segoe UI"/>
          <w:lang w:eastAsia="en-IE"/>
        </w:rPr>
        <w:t>community venue located in Trim</w:t>
      </w:r>
      <w:r w:rsidR="004618A4" w:rsidRPr="00B54EE1">
        <w:rPr>
          <w:rFonts w:ascii="Akkurat" w:eastAsia="Times New Roman" w:hAnsi="Akkurat" w:cs="Segoe UI"/>
          <w:lang w:eastAsia="en-IE"/>
        </w:rPr>
        <w:t>. The centre offers an evolving programme of arts and cultural events, alongside participatory and community-based activity, with a strong emphasis on access, inclusion, and meaningful local engagement.</w:t>
      </w:r>
    </w:p>
    <w:p w14:paraId="345D5F67" w14:textId="77777777" w:rsidR="004618A4" w:rsidRPr="00B54EE1" w:rsidRDefault="004618A4" w:rsidP="0028562F">
      <w:pPr>
        <w:spacing w:before="100" w:beforeAutospacing="1" w:after="100" w:afterAutospacing="1" w:line="300" w:lineRule="atLeast"/>
        <w:ind w:left="851"/>
        <w:rPr>
          <w:rFonts w:ascii="Akkurat" w:eastAsia="Times New Roman" w:hAnsi="Akkurat" w:cs="Segoe UI"/>
          <w:lang w:eastAsia="en-IE"/>
        </w:rPr>
      </w:pPr>
      <w:r w:rsidRPr="00B54EE1">
        <w:rPr>
          <w:rFonts w:ascii="Akkurat" w:eastAsia="Times New Roman" w:hAnsi="Akkurat" w:cs="Segoe UI"/>
          <w:lang w:eastAsia="en-IE"/>
        </w:rPr>
        <w:t>Meath Arts Centre DAC Ltd. commenced operations at Swift Cultural Centre in 2023. The organisation is currently in the first phase of programme development, with a focus on establishing anchor partnerships with local amateur and community groups, alongside the development of a multidisciplinary artist programme that supports a wide range of creative practices. Swift Cultural Centre will also begin a new cin</w:t>
      </w:r>
      <w:r w:rsidR="00B54EE1" w:rsidRPr="00B54EE1">
        <w:rPr>
          <w:rFonts w:ascii="Akkurat" w:eastAsia="Times New Roman" w:hAnsi="Akkurat" w:cs="Segoe UI"/>
          <w:lang w:eastAsia="en-IE"/>
        </w:rPr>
        <w:t xml:space="preserve">ema programme in September 2026. </w:t>
      </w:r>
      <w:r w:rsidR="008018D1">
        <w:rPr>
          <w:rFonts w:ascii="Akkurat" w:eastAsia="Times New Roman" w:hAnsi="Akkurat" w:cs="Segoe UI"/>
          <w:lang w:eastAsia="en-IE"/>
        </w:rPr>
        <w:t>The centre</w:t>
      </w:r>
      <w:r w:rsidRPr="00B54EE1">
        <w:rPr>
          <w:rFonts w:ascii="Akkurat" w:eastAsia="Times New Roman" w:hAnsi="Akkurat" w:cs="Segoe UI"/>
          <w:lang w:eastAsia="en-IE"/>
        </w:rPr>
        <w:t xml:space="preserve"> </w:t>
      </w:r>
      <w:r w:rsidR="00B54EE1" w:rsidRPr="00B54EE1">
        <w:rPr>
          <w:rFonts w:ascii="Akkurat" w:eastAsia="Times New Roman" w:hAnsi="Akkurat" w:cs="Segoe UI"/>
          <w:lang w:eastAsia="en-IE"/>
        </w:rPr>
        <w:t>shares two</w:t>
      </w:r>
      <w:r w:rsidRPr="00B54EE1">
        <w:rPr>
          <w:rFonts w:ascii="Akkurat" w:eastAsia="Times New Roman" w:hAnsi="Akkurat" w:cs="Segoe UI"/>
          <w:lang w:eastAsia="en-IE"/>
        </w:rPr>
        <w:t xml:space="preserve"> multipurpose meeting rooms</w:t>
      </w:r>
      <w:r w:rsidR="00B54EE1" w:rsidRPr="00B54EE1">
        <w:rPr>
          <w:rFonts w:ascii="Akkurat" w:eastAsia="Times New Roman" w:hAnsi="Akkurat" w:cs="Segoe UI"/>
          <w:lang w:eastAsia="en-IE"/>
        </w:rPr>
        <w:t xml:space="preserve"> and</w:t>
      </w:r>
      <w:r w:rsidRPr="00B54EE1">
        <w:rPr>
          <w:rFonts w:ascii="Akkurat" w:eastAsia="Times New Roman" w:hAnsi="Akkurat" w:cs="Segoe UI"/>
          <w:lang w:eastAsia="en-IE"/>
        </w:rPr>
        <w:t xml:space="preserve"> a converted former church</w:t>
      </w:r>
      <w:r w:rsidR="00B54EE1" w:rsidRPr="00B54EE1">
        <w:rPr>
          <w:rFonts w:ascii="Akkurat" w:eastAsia="Times New Roman" w:hAnsi="Akkurat" w:cs="Segoe UI"/>
          <w:lang w:eastAsia="en-IE"/>
        </w:rPr>
        <w:t>/school</w:t>
      </w:r>
      <w:r w:rsidRPr="00B54EE1">
        <w:rPr>
          <w:rFonts w:ascii="Akkurat" w:eastAsia="Times New Roman" w:hAnsi="Akkurat" w:cs="Segoe UI"/>
          <w:lang w:eastAsia="en-IE"/>
        </w:rPr>
        <w:t xml:space="preserve"> space </w:t>
      </w:r>
      <w:r w:rsidR="00B54EE1" w:rsidRPr="00B54EE1">
        <w:rPr>
          <w:rFonts w:ascii="Akkurat" w:eastAsia="Times New Roman" w:hAnsi="Akkurat" w:cs="Segoe UI"/>
          <w:lang w:eastAsia="en-IE"/>
        </w:rPr>
        <w:t xml:space="preserve">operated in partnership with the adjoining public library. It </w:t>
      </w:r>
      <w:r w:rsidRPr="00B54EE1">
        <w:rPr>
          <w:rFonts w:ascii="Akkurat" w:eastAsia="Times New Roman" w:hAnsi="Akkurat" w:cs="Segoe UI"/>
          <w:lang w:eastAsia="en-IE"/>
        </w:rPr>
        <w:t>provides a distinctive setting for multidisciplinary artistic engagement, hosting acoustic concerts, visual arts exhibitions, and other intimate cultural events.</w:t>
      </w:r>
    </w:p>
    <w:p w14:paraId="7D21C61C" w14:textId="77777777" w:rsidR="00345214" w:rsidRPr="00311024" w:rsidRDefault="00345214" w:rsidP="0028562F">
      <w:pPr>
        <w:spacing w:before="100" w:beforeAutospacing="1" w:after="0" w:line="360" w:lineRule="auto"/>
        <w:ind w:left="1276" w:hanging="425"/>
        <w:rPr>
          <w:rFonts w:ascii="Akkurat" w:eastAsia="Times New Roman" w:hAnsi="Akkurat" w:cs="Segoe UI"/>
          <w:lang w:eastAsia="en-IE"/>
        </w:rPr>
      </w:pPr>
      <w:r w:rsidRPr="00311024">
        <w:rPr>
          <w:rFonts w:ascii="Akkurat" w:eastAsia="Times New Roman" w:hAnsi="Akkurat" w:cs="Segoe UI"/>
          <w:b/>
          <w:lang w:eastAsia="en-IE"/>
        </w:rPr>
        <w:t>Facilit</w:t>
      </w:r>
      <w:r w:rsidR="00D1657D" w:rsidRPr="00311024">
        <w:rPr>
          <w:rFonts w:ascii="Akkurat" w:eastAsia="Times New Roman" w:hAnsi="Akkurat" w:cs="Segoe UI"/>
          <w:b/>
          <w:lang w:eastAsia="en-IE"/>
        </w:rPr>
        <w:t>ies</w:t>
      </w:r>
      <w:r w:rsidRPr="00311024">
        <w:rPr>
          <w:rFonts w:ascii="Akkurat" w:eastAsia="Times New Roman" w:hAnsi="Akkurat" w:cs="Segoe UI"/>
          <w:b/>
          <w:lang w:eastAsia="en-IE"/>
        </w:rPr>
        <w:t xml:space="preserve"> include:</w:t>
      </w:r>
      <w:r w:rsidRPr="00311024">
        <w:rPr>
          <w:rFonts w:ascii="Akkurat" w:eastAsia="Times New Roman" w:hAnsi="Akkurat" w:cs="Segoe UI"/>
          <w:lang w:eastAsia="en-IE"/>
        </w:rPr>
        <w:t xml:space="preserve"> </w:t>
      </w:r>
    </w:p>
    <w:p w14:paraId="13BA1C42" w14:textId="77777777" w:rsidR="004618A4" w:rsidRPr="00311024" w:rsidRDefault="004618A4"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235 seater theatre</w:t>
      </w:r>
    </w:p>
    <w:p w14:paraId="65DABBA8" w14:textId="77777777" w:rsidR="004618A4" w:rsidRPr="00311024" w:rsidRDefault="004618A4"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2 Studio Meeting Space (shared):</w:t>
      </w:r>
    </w:p>
    <w:p w14:paraId="135E1844" w14:textId="77777777" w:rsidR="004618A4" w:rsidRPr="00311024" w:rsidRDefault="004618A4"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1 Church Space (</w:t>
      </w:r>
      <w:r w:rsidR="008018D1">
        <w:rPr>
          <w:rFonts w:ascii="Akkurat" w:eastAsia="Times New Roman" w:hAnsi="Akkurat" w:cs="Segoe UI"/>
          <w:lang w:eastAsia="en-IE"/>
        </w:rPr>
        <w:t>s</w:t>
      </w:r>
      <w:r w:rsidRPr="00311024">
        <w:rPr>
          <w:rFonts w:ascii="Akkurat" w:eastAsia="Times New Roman" w:hAnsi="Akkurat" w:cs="Segoe UI"/>
          <w:lang w:eastAsia="en-IE"/>
        </w:rPr>
        <w:t xml:space="preserve">hared) </w:t>
      </w:r>
    </w:p>
    <w:p w14:paraId="1BD5A253" w14:textId="77777777" w:rsidR="00852442" w:rsidRDefault="00852442">
      <w:pPr>
        <w:rPr>
          <w:rFonts w:ascii="Akkurat" w:eastAsia="Times New Roman" w:hAnsi="Akkurat" w:cs="Segoe UI"/>
          <w:b/>
          <w:bCs/>
          <w:sz w:val="27"/>
          <w:szCs w:val="27"/>
          <w:lang w:eastAsia="en-IE"/>
        </w:rPr>
      </w:pPr>
      <w:r>
        <w:rPr>
          <w:rFonts w:ascii="Akkurat" w:eastAsia="Times New Roman" w:hAnsi="Akkurat" w:cs="Segoe UI"/>
          <w:b/>
          <w:bCs/>
          <w:sz w:val="27"/>
          <w:szCs w:val="27"/>
          <w:lang w:eastAsia="en-IE"/>
        </w:rPr>
        <w:br w:type="page"/>
      </w:r>
    </w:p>
    <w:p w14:paraId="6DC117C7" w14:textId="77777777" w:rsidR="00A34876" w:rsidRPr="0058388A" w:rsidRDefault="00A34876" w:rsidP="008212D0">
      <w:pPr>
        <w:pStyle w:val="ListParagraph"/>
        <w:numPr>
          <w:ilvl w:val="0"/>
          <w:numId w:val="25"/>
        </w:numPr>
        <w:tabs>
          <w:tab w:val="left" w:pos="9780"/>
        </w:tabs>
        <w:spacing w:after="100" w:afterAutospacing="1" w:line="300" w:lineRule="atLeast"/>
        <w:ind w:left="993" w:hanging="993"/>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Purpose &amp; Objectives of Quotation</w:t>
      </w:r>
      <w:r w:rsidR="00F209A4" w:rsidRPr="0058388A">
        <w:rPr>
          <w:rFonts w:ascii="Akkurat" w:eastAsia="Times New Roman" w:hAnsi="Akkurat" w:cs="Segoe UI"/>
          <w:b/>
          <w:bCs/>
          <w:sz w:val="28"/>
          <w:szCs w:val="28"/>
          <w:u w:val="single"/>
          <w:lang w:eastAsia="en-IE"/>
        </w:rPr>
        <w:tab/>
      </w:r>
    </w:p>
    <w:p w14:paraId="23BA0E07" w14:textId="77777777" w:rsidR="00DC1E0D" w:rsidRPr="00311024" w:rsidRDefault="00DC1E0D" w:rsidP="0058388A">
      <w:pPr>
        <w:spacing w:before="100" w:beforeAutospacing="1" w:line="300" w:lineRule="atLeast"/>
        <w:ind w:left="993" w:right="283"/>
        <w:rPr>
          <w:rFonts w:ascii="Akkurat" w:eastAsia="Times New Roman" w:hAnsi="Akkurat" w:cs="Segoe UI"/>
          <w:lang w:eastAsia="en-IE"/>
        </w:rPr>
      </w:pPr>
      <w:r w:rsidRPr="00311024">
        <w:rPr>
          <w:rFonts w:ascii="Akkurat" w:eastAsia="Times New Roman" w:hAnsi="Akkurat" w:cs="Segoe UI"/>
          <w:lang w:eastAsia="en-IE"/>
        </w:rPr>
        <w:t>The existing strategic framework</w:t>
      </w:r>
      <w:r w:rsidR="00142B23">
        <w:rPr>
          <w:rFonts w:ascii="Akkurat" w:eastAsia="Times New Roman" w:hAnsi="Akkurat" w:cs="Segoe UI"/>
          <w:lang w:eastAsia="en-IE"/>
        </w:rPr>
        <w:t xml:space="preserve"> </w:t>
      </w:r>
      <w:r w:rsidRPr="00311024">
        <w:rPr>
          <w:rFonts w:ascii="Akkurat" w:eastAsia="Times New Roman" w:hAnsi="Akkurat" w:cs="Segoe UI"/>
          <w:lang w:eastAsia="en-IE"/>
        </w:rPr>
        <w:t xml:space="preserve">for </w:t>
      </w:r>
      <w:r w:rsidR="00385D74" w:rsidRPr="00311024">
        <w:rPr>
          <w:rFonts w:ascii="Akkurat" w:eastAsia="Times New Roman" w:hAnsi="Akkurat" w:cs="Segoe UI"/>
          <w:lang w:eastAsia="en-IE"/>
        </w:rPr>
        <w:t>MAC DAC Ltd. c</w:t>
      </w:r>
      <w:r w:rsidRPr="00311024">
        <w:rPr>
          <w:rFonts w:ascii="Akkurat" w:eastAsia="Times New Roman" w:hAnsi="Akkurat" w:cs="Segoe UI"/>
          <w:lang w:eastAsia="en-IE"/>
        </w:rPr>
        <w:t>onclude</w:t>
      </w:r>
      <w:r w:rsidR="00385D74" w:rsidRPr="00311024">
        <w:rPr>
          <w:rFonts w:ascii="Akkurat" w:eastAsia="Times New Roman" w:hAnsi="Akkurat" w:cs="Segoe UI"/>
          <w:lang w:eastAsia="en-IE"/>
        </w:rPr>
        <w:t>s</w:t>
      </w:r>
      <w:r w:rsidR="00B54EE1">
        <w:rPr>
          <w:rFonts w:ascii="Akkurat" w:eastAsia="Times New Roman" w:hAnsi="Akkurat" w:cs="Segoe UI"/>
          <w:lang w:eastAsia="en-IE"/>
        </w:rPr>
        <w:t xml:space="preserve"> in 2026. A new strategy is </w:t>
      </w:r>
      <w:r w:rsidRPr="00311024">
        <w:rPr>
          <w:rFonts w:ascii="Akkurat" w:eastAsia="Times New Roman" w:hAnsi="Akkurat" w:cs="Segoe UI"/>
          <w:lang w:eastAsia="en-IE"/>
        </w:rPr>
        <w:t xml:space="preserve">required to guide planning and development for the period </w:t>
      </w:r>
      <w:r w:rsidRPr="00B54EE1">
        <w:rPr>
          <w:rFonts w:ascii="Akkurat" w:eastAsia="Times New Roman" w:hAnsi="Akkurat" w:cs="Segoe UI"/>
          <w:lang w:eastAsia="en-IE"/>
        </w:rPr>
        <w:t>2027–2031</w:t>
      </w:r>
      <w:r w:rsidRPr="00311024">
        <w:rPr>
          <w:rFonts w:ascii="Akkurat" w:eastAsia="Times New Roman" w:hAnsi="Akkurat" w:cs="Segoe UI"/>
          <w:lang w:eastAsia="en-IE"/>
        </w:rPr>
        <w:t>, taking account of:</w:t>
      </w:r>
    </w:p>
    <w:p w14:paraId="33B8E934" w14:textId="77777777"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Evolving audience behaviours and community needs</w:t>
      </w:r>
    </w:p>
    <w:p w14:paraId="57D72E61" w14:textId="77777777"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Financial sustainability and funding environments</w:t>
      </w:r>
    </w:p>
    <w:p w14:paraId="751B2BCE" w14:textId="77777777"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Artistic quality and ambition</w:t>
      </w:r>
    </w:p>
    <w:p w14:paraId="2E6C859B" w14:textId="77777777"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Equity, diversity, inclusion, and access</w:t>
      </w:r>
    </w:p>
    <w:p w14:paraId="144E6A3F" w14:textId="77777777"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Environmental sustainability</w:t>
      </w:r>
    </w:p>
    <w:p w14:paraId="1F4EABAF" w14:textId="77777777"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Local and national cultural policy priorities</w:t>
      </w:r>
    </w:p>
    <w:p w14:paraId="281D2647" w14:textId="77777777" w:rsidR="00A34876" w:rsidRDefault="00385D74"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Future proofing </w:t>
      </w:r>
      <w:r w:rsidR="0058388A">
        <w:rPr>
          <w:rFonts w:ascii="Akkurat" w:eastAsia="Times New Roman" w:hAnsi="Akkurat" w:cs="Segoe UI"/>
          <w:lang w:eastAsia="en-IE"/>
        </w:rPr>
        <w:t>of infrastructure</w:t>
      </w:r>
      <w:r w:rsidRPr="00311024">
        <w:rPr>
          <w:rFonts w:ascii="Akkurat" w:eastAsia="Times New Roman" w:hAnsi="Akkurat" w:cs="Segoe UI"/>
          <w:lang w:eastAsia="en-IE"/>
        </w:rPr>
        <w:t xml:space="preserve"> </w:t>
      </w:r>
    </w:p>
    <w:p w14:paraId="01523322" w14:textId="77777777" w:rsidR="00852442" w:rsidRPr="00A34876" w:rsidRDefault="00A34876"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Pr>
          <w:rFonts w:ascii="Akkurat" w:eastAsia="Times New Roman" w:hAnsi="Akkurat" w:cs="Segoe UI"/>
          <w:lang w:eastAsia="en-IE"/>
        </w:rPr>
        <w:t>O</w:t>
      </w:r>
      <w:r w:rsidR="00385D74" w:rsidRPr="00A34876">
        <w:rPr>
          <w:rFonts w:ascii="Akkurat" w:eastAsia="Times New Roman" w:hAnsi="Akkurat" w:cs="Segoe UI"/>
          <w:lang w:eastAsia="en-IE"/>
        </w:rPr>
        <w:t>perational delivery capacities</w:t>
      </w:r>
    </w:p>
    <w:p w14:paraId="498061D0" w14:textId="77777777" w:rsidR="00852442" w:rsidRPr="0058388A" w:rsidRDefault="00852442" w:rsidP="00F209A4">
      <w:pPr>
        <w:spacing w:before="100" w:beforeAutospacing="1" w:after="100" w:afterAutospacing="1" w:line="300" w:lineRule="atLeast"/>
        <w:ind w:left="993"/>
        <w:rPr>
          <w:rFonts w:ascii="Akkurat" w:eastAsia="Times New Roman" w:hAnsi="Akkurat" w:cs="Segoe UI"/>
          <w:lang w:eastAsia="en-IE"/>
        </w:rPr>
      </w:pPr>
      <w:r w:rsidRPr="00311024">
        <w:rPr>
          <w:rFonts w:ascii="Akkurat" w:eastAsia="Times New Roman" w:hAnsi="Akkurat" w:cs="Segoe UI"/>
          <w:lang w:eastAsia="en-IE"/>
        </w:rPr>
        <w:t xml:space="preserve">The purpose of this commission is to </w:t>
      </w:r>
      <w:r w:rsidRPr="0058388A">
        <w:rPr>
          <w:rFonts w:ascii="Akkurat" w:eastAsia="Times New Roman" w:hAnsi="Akkurat" w:cs="Segoe UI"/>
          <w:lang w:eastAsia="en-IE"/>
        </w:rPr>
        <w:t xml:space="preserve">produce a </w:t>
      </w:r>
      <w:r w:rsidRPr="0058388A">
        <w:rPr>
          <w:rFonts w:ascii="Akkurat" w:eastAsia="Times New Roman" w:hAnsi="Akkurat" w:cs="Segoe UI"/>
          <w:bCs/>
          <w:lang w:eastAsia="en-IE"/>
        </w:rPr>
        <w:t>robust, coherent, and future-facing strategic plan</w:t>
      </w:r>
      <w:r w:rsidRPr="0058388A">
        <w:rPr>
          <w:rFonts w:ascii="Akkurat" w:eastAsia="Times New Roman" w:hAnsi="Akkurat" w:cs="Segoe UI"/>
          <w:lang w:eastAsia="en-IE"/>
        </w:rPr>
        <w:t xml:space="preserve"> that will:</w:t>
      </w:r>
    </w:p>
    <w:p w14:paraId="5D3546D2" w14:textId="77777777"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Articulate a clear vision, mission, and values for the period 2027–2031</w:t>
      </w:r>
    </w:p>
    <w:p w14:paraId="5FEADEEC" w14:textId="77777777"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Define strategic priorities and objectives for Solstice Arts Centre and Swift Cultural Centre</w:t>
      </w:r>
    </w:p>
    <w:p w14:paraId="5076EE82" w14:textId="77777777"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Clarify individual and shared roles within County Meath’s cultural ecology</w:t>
      </w:r>
    </w:p>
    <w:p w14:paraId="7DA8C4D8" w14:textId="77777777"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Support audience development, participation, and access</w:t>
      </w:r>
    </w:p>
    <w:p w14:paraId="4E948795" w14:textId="77777777"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Strengthen governance, partnerships, and organisational capacity</w:t>
      </w:r>
    </w:p>
    <w:p w14:paraId="3322355F" w14:textId="77777777" w:rsidR="00852442"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Provide a practical framework for implementation, monitoring, and evaluation</w:t>
      </w:r>
    </w:p>
    <w:p w14:paraId="426659F9" w14:textId="77777777" w:rsidR="00267C57" w:rsidRPr="00267C57" w:rsidRDefault="00F209A4" w:rsidP="00F209A4">
      <w:pPr>
        <w:tabs>
          <w:tab w:val="left" w:pos="851"/>
        </w:tabs>
        <w:spacing w:before="240" w:line="300" w:lineRule="atLeast"/>
        <w:outlineLvl w:val="2"/>
        <w:rPr>
          <w:rFonts w:ascii="Akkurat" w:eastAsia="Times New Roman" w:hAnsi="Akkurat" w:cs="Segoe UI"/>
          <w:b/>
          <w:bCs/>
          <w:sz w:val="27"/>
          <w:szCs w:val="27"/>
          <w:lang w:eastAsia="en-IE"/>
        </w:rPr>
      </w:pPr>
      <w:r w:rsidRPr="0058388A">
        <w:rPr>
          <w:rFonts w:ascii="Akkurat" w:eastAsia="Times New Roman" w:hAnsi="Akkurat" w:cs="Segoe UI"/>
          <w:b/>
          <w:bCs/>
          <w:sz w:val="24"/>
          <w:szCs w:val="24"/>
          <w:lang w:eastAsia="en-IE"/>
        </w:rPr>
        <w:t>2.1.</w:t>
      </w:r>
      <w:r w:rsidR="0028562F" w:rsidRPr="0058388A">
        <w:rPr>
          <w:rFonts w:ascii="Akkurat" w:eastAsia="Times New Roman" w:hAnsi="Akkurat" w:cs="Segoe UI"/>
          <w:b/>
          <w:bCs/>
          <w:sz w:val="24"/>
          <w:szCs w:val="24"/>
          <w:lang w:eastAsia="en-IE"/>
        </w:rPr>
        <w:tab/>
      </w:r>
      <w:r w:rsidR="00267C57" w:rsidRPr="0058388A">
        <w:rPr>
          <w:rFonts w:ascii="Akkurat" w:eastAsia="Times New Roman" w:hAnsi="Akkurat" w:cs="Segoe UI"/>
          <w:b/>
          <w:bCs/>
          <w:sz w:val="24"/>
          <w:szCs w:val="24"/>
          <w:lang w:eastAsia="en-IE"/>
        </w:rPr>
        <w:t>Contract Duration &amp; Timeline</w:t>
      </w:r>
    </w:p>
    <w:p w14:paraId="6B9684D7" w14:textId="77777777" w:rsidR="00267C57" w:rsidRPr="00311024" w:rsidRDefault="00267C57" w:rsidP="00F209A4">
      <w:pPr>
        <w:spacing w:line="240" w:lineRule="auto"/>
        <w:ind w:left="851"/>
        <w:rPr>
          <w:rFonts w:ascii="Akkurat" w:eastAsia="Times New Roman" w:hAnsi="Akkurat" w:cs="Segoe UI"/>
          <w:lang w:eastAsia="en-IE"/>
        </w:rPr>
      </w:pPr>
      <w:r w:rsidRPr="00311024">
        <w:rPr>
          <w:rFonts w:ascii="Akkurat" w:eastAsia="Times New Roman" w:hAnsi="Akkurat" w:cs="Segoe UI"/>
          <w:lang w:eastAsia="en-IE"/>
        </w:rPr>
        <w:t>It is anticipated that:</w:t>
      </w:r>
    </w:p>
    <w:p w14:paraId="08730EB7" w14:textId="626A77BE" w:rsidR="00267C57" w:rsidRPr="00311024" w:rsidRDefault="00267C57" w:rsidP="00F209A4">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The </w:t>
      </w:r>
      <w:r w:rsidR="0058388A">
        <w:rPr>
          <w:rFonts w:ascii="Akkurat" w:eastAsia="Times New Roman" w:hAnsi="Akkurat" w:cs="Segoe UI"/>
          <w:lang w:eastAsia="en-IE"/>
        </w:rPr>
        <w:t>contract</w:t>
      </w:r>
      <w:r w:rsidRPr="00311024">
        <w:rPr>
          <w:rFonts w:ascii="Akkurat" w:eastAsia="Times New Roman" w:hAnsi="Akkurat" w:cs="Segoe UI"/>
          <w:lang w:eastAsia="en-IE"/>
        </w:rPr>
        <w:t xml:space="preserve"> </w:t>
      </w:r>
      <w:r w:rsidR="0058388A">
        <w:rPr>
          <w:rFonts w:ascii="Akkurat" w:eastAsia="Times New Roman" w:hAnsi="Akkurat" w:cs="Segoe UI"/>
          <w:lang w:eastAsia="en-IE"/>
        </w:rPr>
        <w:t>should</w:t>
      </w:r>
      <w:r w:rsidRPr="00311024">
        <w:rPr>
          <w:rFonts w:ascii="Akkurat" w:eastAsia="Times New Roman" w:hAnsi="Akkurat" w:cs="Segoe UI"/>
          <w:lang w:eastAsia="en-IE"/>
        </w:rPr>
        <w:t xml:space="preserve"> commence in </w:t>
      </w:r>
      <w:r w:rsidRPr="00267C57">
        <w:rPr>
          <w:rFonts w:ascii="Akkurat" w:eastAsia="Times New Roman" w:hAnsi="Akkurat" w:cs="Segoe UI"/>
          <w:lang w:eastAsia="en-IE"/>
        </w:rPr>
        <w:t>Ju</w:t>
      </w:r>
      <w:r w:rsidR="000E2637">
        <w:rPr>
          <w:rFonts w:ascii="Akkurat" w:eastAsia="Times New Roman" w:hAnsi="Akkurat" w:cs="Segoe UI"/>
          <w:lang w:eastAsia="en-IE"/>
        </w:rPr>
        <w:t>ly</w:t>
      </w:r>
      <w:r w:rsidRPr="00267C57">
        <w:rPr>
          <w:rFonts w:ascii="Akkurat" w:eastAsia="Times New Roman" w:hAnsi="Akkurat" w:cs="Segoe UI"/>
          <w:lang w:eastAsia="en-IE"/>
        </w:rPr>
        <w:t xml:space="preserve"> 2026</w:t>
      </w:r>
    </w:p>
    <w:p w14:paraId="41083774" w14:textId="77777777" w:rsidR="00267C57" w:rsidRPr="00311024" w:rsidRDefault="00267C57" w:rsidP="00F209A4">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The strategy development process will be completed within </w:t>
      </w:r>
      <w:r w:rsidRPr="00267C57">
        <w:rPr>
          <w:rFonts w:ascii="Akkurat" w:eastAsia="Times New Roman" w:hAnsi="Akkurat" w:cs="Segoe UI"/>
          <w:lang w:eastAsia="en-IE"/>
        </w:rPr>
        <w:t>seven months</w:t>
      </w:r>
    </w:p>
    <w:p w14:paraId="73444716" w14:textId="77777777" w:rsidR="00267C57" w:rsidRPr="00311024" w:rsidRDefault="00267C57" w:rsidP="00F209A4">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The final strategy will be in place for adoption by </w:t>
      </w:r>
      <w:r w:rsidRPr="00267C57">
        <w:rPr>
          <w:rFonts w:ascii="Akkurat" w:eastAsia="Times New Roman" w:hAnsi="Akkurat" w:cs="Segoe UI"/>
          <w:lang w:eastAsia="en-IE"/>
        </w:rPr>
        <w:t>January 2027</w:t>
      </w:r>
    </w:p>
    <w:p w14:paraId="1D68110E" w14:textId="77777777" w:rsidR="00267C57" w:rsidRDefault="00267C57" w:rsidP="00F209A4">
      <w:pPr>
        <w:spacing w:before="100" w:beforeAutospacing="1" w:after="0" w:line="240" w:lineRule="auto"/>
        <w:ind w:left="851"/>
        <w:rPr>
          <w:rFonts w:ascii="Akkurat" w:eastAsia="Times New Roman" w:hAnsi="Akkurat" w:cs="Segoe UI"/>
          <w:lang w:eastAsia="en-IE"/>
        </w:rPr>
      </w:pPr>
      <w:r>
        <w:rPr>
          <w:rFonts w:ascii="Akkurat" w:eastAsia="Times New Roman" w:hAnsi="Akkurat" w:cs="Segoe UI"/>
          <w:lang w:eastAsia="en-IE"/>
        </w:rPr>
        <w:t>Operators</w:t>
      </w:r>
      <w:r w:rsidRPr="00311024">
        <w:rPr>
          <w:rFonts w:ascii="Akkurat" w:eastAsia="Times New Roman" w:hAnsi="Akkurat" w:cs="Segoe UI"/>
          <w:lang w:eastAsia="en-IE"/>
        </w:rPr>
        <w:t xml:space="preserve"> may propose alternative timelines were justified.</w:t>
      </w:r>
    </w:p>
    <w:p w14:paraId="3C62F584" w14:textId="77777777" w:rsidR="00267C57" w:rsidRDefault="00267C57">
      <w:pPr>
        <w:rPr>
          <w:rFonts w:ascii="Akkurat" w:eastAsia="Times New Roman" w:hAnsi="Akkurat" w:cs="Segoe UI"/>
          <w:lang w:eastAsia="en-IE"/>
        </w:rPr>
      </w:pPr>
      <w:r>
        <w:rPr>
          <w:rFonts w:ascii="Akkurat" w:eastAsia="Times New Roman" w:hAnsi="Akkurat" w:cs="Segoe UI"/>
          <w:lang w:eastAsia="en-IE"/>
        </w:rPr>
        <w:br w:type="page"/>
      </w:r>
    </w:p>
    <w:p w14:paraId="3B71A1F8" w14:textId="77777777" w:rsidR="00852442" w:rsidRPr="0058388A" w:rsidRDefault="00852442" w:rsidP="008212D0">
      <w:pPr>
        <w:pStyle w:val="ListParagraph"/>
        <w:numPr>
          <w:ilvl w:val="0"/>
          <w:numId w:val="25"/>
        </w:numPr>
        <w:tabs>
          <w:tab w:val="left" w:pos="9780"/>
        </w:tabs>
        <w:spacing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Scope of Requirements</w:t>
      </w:r>
      <w:r w:rsidR="00F209A4" w:rsidRPr="0058388A">
        <w:rPr>
          <w:rFonts w:ascii="Akkurat" w:eastAsia="Times New Roman" w:hAnsi="Akkurat" w:cs="Segoe UI"/>
          <w:b/>
          <w:bCs/>
          <w:sz w:val="28"/>
          <w:szCs w:val="28"/>
          <w:u w:val="single"/>
          <w:lang w:eastAsia="en-IE"/>
        </w:rPr>
        <w:tab/>
      </w:r>
    </w:p>
    <w:p w14:paraId="115F78D8" w14:textId="77777777" w:rsidR="00852442" w:rsidRPr="00311024" w:rsidRDefault="00852442" w:rsidP="00F209A4">
      <w:pPr>
        <w:spacing w:before="100" w:beforeAutospacing="1" w:after="100" w:afterAutospacing="1" w:line="300" w:lineRule="atLeast"/>
        <w:ind w:left="851"/>
        <w:rPr>
          <w:rFonts w:ascii="Akkurat" w:eastAsia="Times New Roman" w:hAnsi="Akkurat" w:cs="Segoe UI"/>
          <w:lang w:eastAsia="en-IE"/>
        </w:rPr>
      </w:pPr>
      <w:r w:rsidRPr="00311024">
        <w:rPr>
          <w:rFonts w:ascii="Akkurat" w:eastAsia="Times New Roman" w:hAnsi="Akkurat" w:cs="Segoe UI"/>
          <w:lang w:eastAsia="en-IE"/>
        </w:rPr>
        <w:t>The appointed consultant will be expected to undertake, at minimum, the following:</w:t>
      </w:r>
    </w:p>
    <w:p w14:paraId="16ABB077" w14:textId="77777777" w:rsidR="00852442" w:rsidRPr="0058388A" w:rsidRDefault="00A34876" w:rsidP="00F209A4">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.1</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Research &amp; Review</w:t>
      </w:r>
    </w:p>
    <w:p w14:paraId="539D8F55" w14:textId="77777777"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Review existing strategic plans, policies, and reports</w:t>
      </w:r>
    </w:p>
    <w:p w14:paraId="5E90A25E" w14:textId="77777777"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Review relevant local, regional, and national cultural policy frameworks</w:t>
      </w:r>
    </w:p>
    <w:p w14:paraId="6DB1DEF7" w14:textId="77777777"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Analyse organisational and operating contexts</w:t>
      </w:r>
    </w:p>
    <w:p w14:paraId="5BC39C5F" w14:textId="77777777" w:rsidR="00852442" w:rsidRPr="0058388A" w:rsidRDefault="00A34876" w:rsidP="00F209A4">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.2</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Consultation &amp; Stakeholder Engagement</w:t>
      </w:r>
    </w:p>
    <w:p w14:paraId="7A52BF0D" w14:textId="77777777"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Design and deliver an inclusive consultation process</w:t>
      </w:r>
    </w:p>
    <w:p w14:paraId="53784E0F" w14:textId="77777777"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Engage with staff, boards, funders, artists, partners, community stakeholders, and audiences</w:t>
      </w:r>
    </w:p>
    <w:p w14:paraId="49576480" w14:textId="77777777" w:rsidR="00852442" w:rsidRPr="00267C57"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Facilitate workshops, interviews, and other participatory processes as appropriate</w:t>
      </w:r>
    </w:p>
    <w:p w14:paraId="38B74E2E" w14:textId="77777777" w:rsidR="00852442" w:rsidRPr="0058388A" w:rsidRDefault="00A34876"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.3</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Strategy Development</w:t>
      </w:r>
    </w:p>
    <w:p w14:paraId="6B3EFFB8" w14:textId="77777777" w:rsidR="00852442" w:rsidRPr="00311024" w:rsidRDefault="00852442" w:rsidP="00F209A4">
      <w:pPr>
        <w:numPr>
          <w:ilvl w:val="0"/>
          <w:numId w:val="15"/>
        </w:numPr>
        <w:tabs>
          <w:tab w:val="clear" w:pos="720"/>
        </w:tabs>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Develop shared and/or complementary strategic direction</w:t>
      </w:r>
    </w:p>
    <w:p w14:paraId="6AE51AD8" w14:textId="77777777" w:rsidR="00852442" w:rsidRPr="00311024" w:rsidRDefault="00852442" w:rsidP="00F209A4">
      <w:pPr>
        <w:numPr>
          <w:ilvl w:val="0"/>
          <w:numId w:val="15"/>
        </w:numPr>
        <w:tabs>
          <w:tab w:val="clear" w:pos="720"/>
        </w:tabs>
        <w:spacing w:before="100" w:beforeAutospacing="1"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Identify key strategic themes, priorities, and objectives</w:t>
      </w:r>
    </w:p>
    <w:p w14:paraId="7243CAF9" w14:textId="77777777" w:rsidR="00852442" w:rsidRPr="00311024" w:rsidRDefault="00852442" w:rsidP="00F209A4">
      <w:pPr>
        <w:numPr>
          <w:ilvl w:val="0"/>
          <w:numId w:val="15"/>
        </w:numPr>
        <w:tabs>
          <w:tab w:val="clear" w:pos="720"/>
        </w:tabs>
        <w:spacing w:before="100" w:beforeAutospacing="1"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Identify opportunities for collaboration, efficiencies, and shared learning</w:t>
      </w:r>
    </w:p>
    <w:p w14:paraId="2DCEB210" w14:textId="77777777" w:rsidR="00852442" w:rsidRPr="00311024" w:rsidRDefault="00852442" w:rsidP="00F209A4">
      <w:pPr>
        <w:numPr>
          <w:ilvl w:val="0"/>
          <w:numId w:val="15"/>
        </w:numPr>
        <w:tabs>
          <w:tab w:val="clear" w:pos="720"/>
        </w:tabs>
        <w:spacing w:before="100" w:beforeAutospacing="1"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Address equality, diversity, inclusion, climate action, and sustainability</w:t>
      </w:r>
    </w:p>
    <w:p w14:paraId="6D91D02C" w14:textId="77777777" w:rsidR="00852442" w:rsidRPr="0058388A" w:rsidRDefault="00A34876" w:rsidP="00F209A4">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.4</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Finalisation &amp; Adoption</w:t>
      </w:r>
    </w:p>
    <w:p w14:paraId="0DEC2950" w14:textId="77777777"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Produce draft and final strategy documents</w:t>
      </w:r>
    </w:p>
    <w:p w14:paraId="37F9A952" w14:textId="77777777"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Present findings and recommendations to boards and stakeholders</w:t>
      </w:r>
    </w:p>
    <w:p w14:paraId="7FE17EA9" w14:textId="77777777" w:rsidR="00852442"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Incorporate feedback prior to final submission</w:t>
      </w:r>
    </w:p>
    <w:p w14:paraId="08C50B5D" w14:textId="77777777" w:rsidR="00A34876" w:rsidRPr="0058388A" w:rsidRDefault="00A34876"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3.5</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Deliverables</w:t>
      </w:r>
    </w:p>
    <w:p w14:paraId="0A51ACE8" w14:textId="77777777" w:rsidR="00A34876" w:rsidRPr="006228B9" w:rsidRDefault="00A34876" w:rsidP="00F209A4">
      <w:pPr>
        <w:spacing w:line="300" w:lineRule="atLeast"/>
        <w:ind w:left="851"/>
        <w:rPr>
          <w:rFonts w:ascii="Akkurat" w:eastAsia="Times New Roman" w:hAnsi="Akkurat" w:cs="Segoe UI"/>
          <w:lang w:eastAsia="en-IE"/>
        </w:rPr>
      </w:pPr>
      <w:r w:rsidRPr="006228B9">
        <w:rPr>
          <w:rFonts w:ascii="Akkurat" w:eastAsia="Times New Roman" w:hAnsi="Akkurat" w:cs="Segoe UI"/>
          <w:lang w:eastAsia="en-IE"/>
        </w:rPr>
        <w:t>The consultant will be required to deliver:</w:t>
      </w:r>
    </w:p>
    <w:p w14:paraId="7A62E3A5" w14:textId="77777777"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b/>
          <w:bCs/>
          <w:lang w:eastAsia="en-IE"/>
        </w:rPr>
        <w:t>A Strategic Plan 2027–2031</w:t>
      </w:r>
      <w:r w:rsidRPr="00311024">
        <w:rPr>
          <w:rFonts w:ascii="Akkurat" w:eastAsia="Times New Roman" w:hAnsi="Akkurat" w:cs="Segoe UI"/>
          <w:lang w:eastAsia="en-IE"/>
        </w:rPr>
        <w:t xml:space="preserve"> for Solstice Arts Centre and Swift Cultural Centre</w:t>
      </w:r>
    </w:p>
    <w:p w14:paraId="3EC426F4" w14:textId="77777777"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 xml:space="preserve">An </w:t>
      </w:r>
      <w:r w:rsidRPr="00311024">
        <w:rPr>
          <w:rFonts w:ascii="Akkurat" w:eastAsia="Times New Roman" w:hAnsi="Akkurat" w:cs="Segoe UI"/>
          <w:b/>
          <w:bCs/>
          <w:lang w:eastAsia="en-IE"/>
        </w:rPr>
        <w:t>Executive Summary</w:t>
      </w:r>
      <w:r w:rsidRPr="00311024">
        <w:rPr>
          <w:rFonts w:ascii="Akkurat" w:eastAsia="Times New Roman" w:hAnsi="Akkurat" w:cs="Segoe UI"/>
          <w:lang w:eastAsia="en-IE"/>
        </w:rPr>
        <w:t xml:space="preserve"> suitable for public distribution</w:t>
      </w:r>
    </w:p>
    <w:p w14:paraId="06173BC8" w14:textId="77777777"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 xml:space="preserve">An </w:t>
      </w:r>
      <w:r w:rsidRPr="00311024">
        <w:rPr>
          <w:rFonts w:ascii="Akkurat" w:eastAsia="Times New Roman" w:hAnsi="Akkurat" w:cs="Segoe UI"/>
          <w:b/>
          <w:bCs/>
          <w:lang w:eastAsia="en-IE"/>
        </w:rPr>
        <w:t>Implementation Framework</w:t>
      </w:r>
      <w:r w:rsidRPr="00311024">
        <w:rPr>
          <w:rFonts w:ascii="Akkurat" w:eastAsia="Times New Roman" w:hAnsi="Akkurat" w:cs="Segoe UI"/>
          <w:lang w:eastAsia="en-IE"/>
        </w:rPr>
        <w:t>, including actions, timelines, and responsibilities</w:t>
      </w:r>
    </w:p>
    <w:p w14:paraId="445D12AA" w14:textId="77777777"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Presentations to relevant stakeholders (as required)</w:t>
      </w:r>
    </w:p>
    <w:p w14:paraId="41A1E7A3" w14:textId="77777777" w:rsidR="00A34876" w:rsidRDefault="00A34876" w:rsidP="00F209A4">
      <w:pPr>
        <w:spacing w:before="100" w:beforeAutospacing="1" w:after="100" w:afterAutospacing="1" w:line="300" w:lineRule="atLeast"/>
        <w:ind w:left="851"/>
        <w:rPr>
          <w:rFonts w:ascii="Akkurat" w:eastAsia="Times New Roman" w:hAnsi="Akkurat" w:cs="Segoe UI"/>
          <w:sz w:val="21"/>
          <w:szCs w:val="21"/>
          <w:lang w:eastAsia="en-IE"/>
        </w:rPr>
      </w:pPr>
      <w:r w:rsidRPr="004218EE">
        <w:rPr>
          <w:rFonts w:ascii="Akkurat" w:eastAsia="Times New Roman" w:hAnsi="Akkurat" w:cs="Segoe UI"/>
          <w:sz w:val="21"/>
          <w:szCs w:val="21"/>
          <w:lang w:eastAsia="en-IE"/>
        </w:rPr>
        <w:t>All deliverables must be provided in accessible digital formats.</w:t>
      </w:r>
    </w:p>
    <w:p w14:paraId="7B4036EC" w14:textId="77777777" w:rsidR="00F209A4" w:rsidRDefault="00F209A4">
      <w:pPr>
        <w:rPr>
          <w:rFonts w:ascii="Akkurat" w:eastAsia="Times New Roman" w:hAnsi="Akkurat" w:cs="Segoe UI"/>
          <w:b/>
          <w:bCs/>
          <w:sz w:val="27"/>
          <w:szCs w:val="27"/>
          <w:lang w:eastAsia="en-IE"/>
        </w:rPr>
      </w:pPr>
      <w:r>
        <w:rPr>
          <w:rFonts w:ascii="Akkurat" w:eastAsia="Times New Roman" w:hAnsi="Akkurat" w:cs="Segoe UI"/>
          <w:b/>
          <w:bCs/>
          <w:sz w:val="27"/>
          <w:szCs w:val="27"/>
          <w:lang w:eastAsia="en-IE"/>
        </w:rPr>
        <w:br w:type="page"/>
      </w:r>
    </w:p>
    <w:p w14:paraId="6987EC59" w14:textId="77777777" w:rsidR="00430EAB" w:rsidRPr="0058388A" w:rsidRDefault="00267C57"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lastRenderedPageBreak/>
        <w:t>3.6</w:t>
      </w:r>
      <w:r w:rsidR="00430EAB" w:rsidRPr="0058388A">
        <w:rPr>
          <w:rFonts w:ascii="Akkurat" w:eastAsia="Times New Roman" w:hAnsi="Akkurat" w:cs="Segoe UI"/>
          <w:b/>
          <w:bCs/>
          <w:sz w:val="24"/>
          <w:szCs w:val="24"/>
          <w:lang w:eastAsia="en-IE"/>
        </w:rPr>
        <w:t>.</w:t>
      </w:r>
      <w:r w:rsidR="0028562F" w:rsidRPr="0058388A">
        <w:rPr>
          <w:rFonts w:ascii="Akkurat" w:eastAsia="Times New Roman" w:hAnsi="Akkurat" w:cs="Segoe UI"/>
          <w:b/>
          <w:bCs/>
          <w:sz w:val="24"/>
          <w:szCs w:val="24"/>
          <w:lang w:eastAsia="en-IE"/>
        </w:rPr>
        <w:tab/>
      </w:r>
      <w:r w:rsidR="00430EAB" w:rsidRPr="0058388A">
        <w:rPr>
          <w:rFonts w:ascii="Akkurat" w:eastAsia="Times New Roman" w:hAnsi="Akkurat" w:cs="Segoe UI"/>
          <w:b/>
          <w:bCs/>
          <w:sz w:val="24"/>
          <w:szCs w:val="24"/>
          <w:lang w:eastAsia="en-IE"/>
        </w:rPr>
        <w:t>Review of Performance</w:t>
      </w:r>
    </w:p>
    <w:p w14:paraId="1E8312D6" w14:textId="77777777" w:rsidR="00430EAB" w:rsidRPr="00CB6E9F" w:rsidRDefault="00430EAB" w:rsidP="006228B9">
      <w:pPr>
        <w:spacing w:line="300" w:lineRule="atLeast"/>
        <w:ind w:left="851"/>
        <w:rPr>
          <w:rFonts w:ascii="Akkurat" w:hAnsi="Akkurat" w:cs="Cavolini"/>
        </w:rPr>
      </w:pPr>
      <w:r w:rsidRPr="00430EAB">
        <w:rPr>
          <w:rFonts w:ascii="Akkurat" w:eastAsia="Times New Roman" w:hAnsi="Akkurat" w:cs="Segoe UI"/>
          <w:sz w:val="21"/>
          <w:szCs w:val="21"/>
          <w:lang w:eastAsia="en-IE"/>
        </w:rPr>
        <w:t xml:space="preserve">A quality service is required under this contract.  Therefore, performance will be continually monitored over the term of the contract. Cost competitiveness, performance, quality of service and turnaround time will be the main criteria for measuring performance. </w:t>
      </w:r>
      <w:r w:rsidRPr="00CB6E9F">
        <w:rPr>
          <w:rFonts w:ascii="Akkurat" w:hAnsi="Akkurat" w:cs="Cavolini"/>
        </w:rPr>
        <w:t xml:space="preserve">  </w:t>
      </w:r>
    </w:p>
    <w:p w14:paraId="257662ED" w14:textId="77777777" w:rsidR="00430EAB" w:rsidRPr="0058388A" w:rsidRDefault="00430EAB"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3.7</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Award to Runner Up</w:t>
      </w:r>
    </w:p>
    <w:p w14:paraId="49BDE701" w14:textId="77777777" w:rsidR="00F209A4" w:rsidRDefault="00430EAB" w:rsidP="006228B9">
      <w:pPr>
        <w:spacing w:after="100" w:afterAutospacing="1" w:line="300" w:lineRule="atLeast"/>
        <w:ind w:left="851"/>
        <w:rPr>
          <w:rFonts w:ascii="Akkurat" w:eastAsia="Times New Roman" w:hAnsi="Akkurat" w:cs="Segoe UI"/>
          <w:sz w:val="21"/>
          <w:szCs w:val="21"/>
          <w:lang w:eastAsia="en-IE"/>
        </w:rPr>
      </w:pPr>
      <w:r w:rsidRPr="00430EAB">
        <w:rPr>
          <w:rFonts w:ascii="Akkurat" w:eastAsia="Times New Roman" w:hAnsi="Akkurat" w:cs="Segoe UI"/>
          <w:sz w:val="21"/>
          <w:szCs w:val="21"/>
          <w:lang w:eastAsia="en-IE"/>
        </w:rPr>
        <w:t>If for any reason, it is not possible to award the contract to the successful operator emerging from this competitive process, or if having awarded the contract, the Contracting Company considers that the successful operator has not met its obligations, the Contracting Company reserves the right to award the contract to the next highest scoring operator on the basis of the terms advertised, at any time during the quotation validity period of 6 months.</w:t>
      </w:r>
    </w:p>
    <w:p w14:paraId="1553E117" w14:textId="77777777" w:rsidR="0005065D" w:rsidRDefault="00430EAB" w:rsidP="00F209A4">
      <w:pPr>
        <w:spacing w:after="0" w:line="300" w:lineRule="atLeast"/>
        <w:ind w:left="851"/>
        <w:rPr>
          <w:rFonts w:ascii="Akkurat" w:eastAsia="Times New Roman" w:hAnsi="Akkurat" w:cs="Segoe UI"/>
          <w:sz w:val="21"/>
          <w:szCs w:val="21"/>
          <w:lang w:eastAsia="en-IE"/>
        </w:rPr>
      </w:pPr>
      <w:r w:rsidRPr="00430EAB">
        <w:rPr>
          <w:rFonts w:ascii="Akkurat" w:eastAsia="Times New Roman" w:hAnsi="Akkurat" w:cs="Segoe UI"/>
          <w:sz w:val="21"/>
          <w:szCs w:val="21"/>
          <w:lang w:eastAsia="en-IE"/>
        </w:rPr>
        <w:t xml:space="preserve"> </w:t>
      </w:r>
    </w:p>
    <w:p w14:paraId="4DEEED05" w14:textId="77777777" w:rsidR="00CB6E9F" w:rsidRPr="0058388A" w:rsidRDefault="00CB6E9F"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t>Finance</w:t>
      </w:r>
      <w:r w:rsidR="00F209A4" w:rsidRPr="0058388A">
        <w:rPr>
          <w:rFonts w:ascii="Akkurat" w:eastAsia="Times New Roman" w:hAnsi="Akkurat" w:cs="Segoe UI"/>
          <w:b/>
          <w:bCs/>
          <w:sz w:val="28"/>
          <w:szCs w:val="28"/>
          <w:u w:val="single"/>
          <w:lang w:eastAsia="en-IE"/>
        </w:rPr>
        <w:tab/>
      </w:r>
    </w:p>
    <w:p w14:paraId="6207C576" w14:textId="77777777" w:rsidR="00CB6E9F" w:rsidRPr="0058388A" w:rsidRDefault="00CB6E9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 xml:space="preserve">4.1 </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 xml:space="preserve">Budget </w:t>
      </w:r>
    </w:p>
    <w:p w14:paraId="5F2F283E" w14:textId="77777777" w:rsidR="00CB6E9F" w:rsidRPr="00CB6E9F" w:rsidRDefault="00CB6E9F" w:rsidP="006228B9">
      <w:pPr>
        <w:ind w:left="851"/>
        <w:rPr>
          <w:rFonts w:ascii="Akkurat" w:hAnsi="Akkurat" w:cs="Cavolini"/>
        </w:rPr>
      </w:pPr>
      <w:r w:rsidRPr="00CB6E9F">
        <w:rPr>
          <w:rFonts w:ascii="Akkurat" w:hAnsi="Akkurat" w:cs="Cavolini"/>
        </w:rPr>
        <w:t>The total budget available for this commission is:</w:t>
      </w:r>
    </w:p>
    <w:p w14:paraId="2F27AD56" w14:textId="77777777" w:rsidR="00CB6E9F" w:rsidRPr="00CB6E9F" w:rsidRDefault="00CB6E9F" w:rsidP="006228B9">
      <w:pPr>
        <w:ind w:left="851"/>
        <w:rPr>
          <w:rFonts w:ascii="Akkurat" w:hAnsi="Akkurat" w:cs="Cavolini"/>
          <w:b/>
        </w:rPr>
      </w:pPr>
      <w:r w:rsidRPr="00CB6E9F">
        <w:rPr>
          <w:rFonts w:ascii="Akkurat" w:hAnsi="Akkurat" w:cs="Cavolini"/>
          <w:b/>
        </w:rPr>
        <w:t>Up to €25,000 (excluding VAT)</w:t>
      </w:r>
    </w:p>
    <w:p w14:paraId="20319BC7" w14:textId="77777777" w:rsidR="00CB6E9F" w:rsidRPr="00CB6E9F" w:rsidRDefault="00CB6E9F" w:rsidP="006228B9">
      <w:pPr>
        <w:ind w:left="851"/>
        <w:rPr>
          <w:rFonts w:ascii="Akkurat" w:hAnsi="Akkurat" w:cs="Cavolini"/>
        </w:rPr>
      </w:pPr>
      <w:r w:rsidRPr="00CB6E9F">
        <w:rPr>
          <w:rFonts w:ascii="Akkurat" w:hAnsi="Akkurat" w:cs="Cavolini"/>
        </w:rPr>
        <w:t>This figure is inclusive of all fees, expenses, and costs associated with delivery of the contract.</w:t>
      </w:r>
    </w:p>
    <w:p w14:paraId="2A31EB79" w14:textId="77777777" w:rsidR="00CB6E9F" w:rsidRPr="0058388A" w:rsidRDefault="00CB6E9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0" w:name="_Toc66368908"/>
      <w:r w:rsidRPr="0058388A">
        <w:rPr>
          <w:rFonts w:ascii="Akkurat" w:eastAsia="Times New Roman" w:hAnsi="Akkurat" w:cs="Segoe UI"/>
          <w:b/>
          <w:bCs/>
          <w:sz w:val="24"/>
          <w:szCs w:val="24"/>
          <w:lang w:eastAsia="en-IE"/>
        </w:rPr>
        <w:t xml:space="preserve">4.2 </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Account Management</w:t>
      </w:r>
      <w:bookmarkEnd w:id="0"/>
    </w:p>
    <w:p w14:paraId="5823540D" w14:textId="77777777" w:rsidR="00CB6E9F" w:rsidRPr="00CB6E9F" w:rsidRDefault="00CB6E9F" w:rsidP="006228B9">
      <w:pPr>
        <w:ind w:left="851"/>
        <w:rPr>
          <w:rFonts w:ascii="Akkurat" w:hAnsi="Akkurat" w:cs="Cavolini"/>
        </w:rPr>
      </w:pPr>
      <w:r>
        <w:rPr>
          <w:rFonts w:ascii="Akkurat" w:hAnsi="Akkurat" w:cs="Cavolini"/>
        </w:rPr>
        <w:t>Consultants/Organisations</w:t>
      </w:r>
      <w:r w:rsidRPr="00CB6E9F">
        <w:rPr>
          <w:rFonts w:ascii="Akkurat" w:hAnsi="Akkurat" w:cs="Cavolini"/>
        </w:rPr>
        <w:t xml:space="preserve"> submitting a quotation are required 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p>
    <w:p w14:paraId="5E5C616B" w14:textId="77777777" w:rsidR="00CB6E9F" w:rsidRPr="0058388A" w:rsidRDefault="00CB6E9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 w:name="_Toc66368909"/>
      <w:bookmarkStart w:id="2" w:name="_Toc171227902"/>
      <w:bookmarkStart w:id="3" w:name="_Toc72904666"/>
      <w:bookmarkStart w:id="4" w:name="_Hlk490556319"/>
      <w:r w:rsidRPr="0058388A">
        <w:rPr>
          <w:rFonts w:ascii="Akkurat" w:eastAsia="Times New Roman" w:hAnsi="Akkurat" w:cs="Segoe UI"/>
          <w:b/>
          <w:bCs/>
          <w:sz w:val="24"/>
          <w:szCs w:val="24"/>
          <w:lang w:eastAsia="en-IE"/>
        </w:rPr>
        <w:t>4.3</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Invoicing</w:t>
      </w:r>
      <w:bookmarkEnd w:id="1"/>
      <w:r w:rsidRPr="0058388A">
        <w:rPr>
          <w:rFonts w:ascii="Akkurat" w:eastAsia="Times New Roman" w:hAnsi="Akkurat" w:cs="Segoe UI"/>
          <w:b/>
          <w:bCs/>
          <w:sz w:val="24"/>
          <w:szCs w:val="24"/>
          <w:lang w:eastAsia="en-IE"/>
        </w:rPr>
        <w:t xml:space="preserve"> </w:t>
      </w:r>
      <w:bookmarkEnd w:id="2"/>
      <w:bookmarkEnd w:id="3"/>
    </w:p>
    <w:p w14:paraId="191238E4" w14:textId="77777777" w:rsidR="00CB6E9F" w:rsidRDefault="00CB6E9F" w:rsidP="006228B9">
      <w:pPr>
        <w:ind w:left="851"/>
        <w:rPr>
          <w:rFonts w:ascii="Akkurat" w:hAnsi="Akkurat" w:cs="Cavolini"/>
        </w:rPr>
      </w:pPr>
      <w:r w:rsidRPr="00CB6E9F">
        <w:rPr>
          <w:rFonts w:ascii="Akkurat" w:hAnsi="Akkurat" w:cs="Cavolini"/>
        </w:rPr>
        <w:t xml:space="preserve">Invoices shall be submitted by the successful operator on a monthly basis for all costs incurred in the preceding month, or as otherwise agreed by the parties.   All official invoices must quote a Contracting </w:t>
      </w:r>
      <w:r>
        <w:rPr>
          <w:rFonts w:ascii="Akkurat" w:hAnsi="Akkurat" w:cs="Cavolini"/>
        </w:rPr>
        <w:t>Company</w:t>
      </w:r>
      <w:r w:rsidRPr="00CB6E9F">
        <w:rPr>
          <w:rFonts w:ascii="Akkurat" w:hAnsi="Akkurat" w:cs="Cavolini"/>
        </w:rPr>
        <w:t xml:space="preserve"> purchase order number.  All invoices which do not quote the relevant order number(s) will be returned to the service provider. </w:t>
      </w:r>
      <w:bookmarkStart w:id="5" w:name="_Toc171227903"/>
      <w:bookmarkStart w:id="6" w:name="_Toc72904667"/>
    </w:p>
    <w:p w14:paraId="6B1D2F55" w14:textId="77777777" w:rsidR="00267C57" w:rsidRPr="0058388A" w:rsidRDefault="00267C57"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7" w:name="_Toc66368922"/>
      <w:r w:rsidRPr="0058388A">
        <w:rPr>
          <w:rFonts w:ascii="Akkurat" w:eastAsia="Times New Roman" w:hAnsi="Akkurat" w:cs="Segoe UI"/>
          <w:b/>
          <w:bCs/>
          <w:sz w:val="24"/>
          <w:szCs w:val="24"/>
          <w:lang w:eastAsia="en-IE"/>
        </w:rPr>
        <w:t>4.4</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Currency and Payments</w:t>
      </w:r>
      <w:bookmarkEnd w:id="7"/>
    </w:p>
    <w:p w14:paraId="59ADCC09" w14:textId="77777777" w:rsidR="00267C57" w:rsidRDefault="00267C57" w:rsidP="009F54B6">
      <w:pPr>
        <w:ind w:left="851"/>
        <w:rPr>
          <w:rFonts w:ascii="Akkurat" w:hAnsi="Akkurat" w:cs="Cavolini"/>
        </w:rPr>
      </w:pPr>
      <w:r w:rsidRPr="00267C57">
        <w:rPr>
          <w:rFonts w:ascii="Akkurat" w:hAnsi="Akkurat" w:cs="Cavolini"/>
        </w:rPr>
        <w:t xml:space="preserve">The currency and invoices in which all prices and rates shall be quoted, and which payments under the contract will be paid, shall be Euros (€). All prices and rates quoted should be exclusive of VAT.  </w:t>
      </w:r>
    </w:p>
    <w:p w14:paraId="7B794E5B" w14:textId="77777777" w:rsidR="006228B9" w:rsidRPr="00267C57" w:rsidRDefault="006228B9" w:rsidP="00267C57">
      <w:pPr>
        <w:ind w:left="720"/>
        <w:rPr>
          <w:rFonts w:ascii="Akkurat" w:hAnsi="Akkurat" w:cs="Cavolini"/>
        </w:rPr>
      </w:pPr>
    </w:p>
    <w:p w14:paraId="77BFF822" w14:textId="77777777" w:rsidR="00CB6E9F" w:rsidRPr="0058388A" w:rsidRDefault="00CB6E9F"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bookmarkStart w:id="8" w:name="_Toc66368910"/>
      <w:bookmarkStart w:id="9" w:name="_Toc66368907"/>
      <w:bookmarkEnd w:id="4"/>
      <w:bookmarkEnd w:id="5"/>
      <w:bookmarkEnd w:id="6"/>
      <w:r w:rsidRPr="0058388A">
        <w:rPr>
          <w:rFonts w:ascii="Akkurat" w:eastAsia="Times New Roman" w:hAnsi="Akkurat" w:cs="Segoe UI"/>
          <w:b/>
          <w:bCs/>
          <w:sz w:val="28"/>
          <w:szCs w:val="28"/>
          <w:u w:val="single"/>
          <w:lang w:eastAsia="en-IE"/>
        </w:rPr>
        <w:t>Evaluation Criteria</w:t>
      </w:r>
      <w:r w:rsidR="00F209A4" w:rsidRPr="0058388A">
        <w:rPr>
          <w:rFonts w:ascii="Akkurat" w:eastAsia="Times New Roman" w:hAnsi="Akkurat" w:cs="Segoe UI"/>
          <w:b/>
          <w:bCs/>
          <w:sz w:val="28"/>
          <w:szCs w:val="28"/>
          <w:u w:val="single"/>
          <w:lang w:eastAsia="en-IE"/>
        </w:rPr>
        <w:tab/>
      </w:r>
    </w:p>
    <w:p w14:paraId="1A9F32F4" w14:textId="77777777" w:rsidR="00924D64" w:rsidRPr="0058388A" w:rsidRDefault="00924D64"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5.1</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Suitability</w:t>
      </w:r>
    </w:p>
    <w:p w14:paraId="68728531" w14:textId="77777777" w:rsidR="00924D64" w:rsidRPr="00924D64" w:rsidRDefault="00924D64" w:rsidP="006228B9">
      <w:pPr>
        <w:ind w:left="851"/>
        <w:rPr>
          <w:rFonts w:ascii="Akkurat" w:hAnsi="Akkurat" w:cs="Cavolini"/>
        </w:rPr>
      </w:pPr>
      <w:r w:rsidRPr="00924D64">
        <w:rPr>
          <w:rFonts w:ascii="Akkurat" w:hAnsi="Akkurat" w:cs="Cavolini"/>
        </w:rPr>
        <w:t xml:space="preserve">The Contracting </w:t>
      </w:r>
      <w:r>
        <w:rPr>
          <w:rFonts w:ascii="Akkurat" w:hAnsi="Akkurat" w:cs="Cavolini"/>
        </w:rPr>
        <w:t>Company</w:t>
      </w:r>
      <w:r w:rsidRPr="00924D64">
        <w:rPr>
          <w:rFonts w:ascii="Akkurat" w:hAnsi="Akkurat" w:cs="Cavolini"/>
        </w:rPr>
        <w:t xml:space="preserve"> will only consider quotations from competent and financially sound and compliant operators.  To this end, you are required to confirm the following by completing the self-declaration contained in the separate Quotation Response Document (QRD). </w:t>
      </w:r>
    </w:p>
    <w:p w14:paraId="0C6C9EBE" w14:textId="77777777" w:rsidR="00924D64" w:rsidRPr="00924D64" w:rsidRDefault="00924D64" w:rsidP="00F209A4">
      <w:pPr>
        <w:pStyle w:val="ListParagraph"/>
        <w:numPr>
          <w:ilvl w:val="0"/>
          <w:numId w:val="22"/>
        </w:numPr>
        <w:ind w:left="1276"/>
        <w:rPr>
          <w:rFonts w:ascii="Akkurat" w:hAnsi="Akkurat" w:cs="Cavolini"/>
        </w:rPr>
      </w:pPr>
      <w:r w:rsidRPr="00924D64">
        <w:rPr>
          <w:rFonts w:ascii="Akkurat" w:hAnsi="Akkurat" w:cs="Cavolini"/>
        </w:rPr>
        <w:t xml:space="preserve">General operator information. </w:t>
      </w:r>
    </w:p>
    <w:p w14:paraId="3E128EC1" w14:textId="77777777" w:rsidR="00924D64" w:rsidRPr="00924D64" w:rsidRDefault="00924D64" w:rsidP="00F209A4">
      <w:pPr>
        <w:pStyle w:val="ListParagraph"/>
        <w:numPr>
          <w:ilvl w:val="0"/>
          <w:numId w:val="22"/>
        </w:numPr>
        <w:ind w:left="1276"/>
        <w:rPr>
          <w:rFonts w:ascii="Akkurat" w:hAnsi="Akkurat" w:cs="Cavolini"/>
        </w:rPr>
      </w:pPr>
      <w:r w:rsidRPr="00924D64">
        <w:rPr>
          <w:rFonts w:ascii="Akkurat" w:hAnsi="Akkurat" w:cs="Cavolini"/>
        </w:rPr>
        <w:t xml:space="preserve">Confirmation of tax compliance. </w:t>
      </w:r>
    </w:p>
    <w:p w14:paraId="68FB50A3" w14:textId="77777777" w:rsidR="00924D64" w:rsidRPr="00924D64" w:rsidRDefault="00924D64" w:rsidP="00F209A4">
      <w:pPr>
        <w:pStyle w:val="ListParagraph"/>
        <w:numPr>
          <w:ilvl w:val="0"/>
          <w:numId w:val="22"/>
        </w:numPr>
        <w:ind w:left="1276"/>
        <w:rPr>
          <w:rFonts w:ascii="Akkurat" w:hAnsi="Akkurat" w:cs="Cavolini"/>
        </w:rPr>
      </w:pPr>
      <w:r w:rsidRPr="00924D64">
        <w:rPr>
          <w:rFonts w:ascii="Akkurat" w:hAnsi="Akkurat" w:cs="Cavolini"/>
        </w:rPr>
        <w:t xml:space="preserve">Confirmation that the operator is appropriately insured. </w:t>
      </w:r>
    </w:p>
    <w:p w14:paraId="0C5164D8" w14:textId="77777777" w:rsidR="00924D64" w:rsidRDefault="00924D64" w:rsidP="00F209A4">
      <w:pPr>
        <w:pStyle w:val="ListParagraph"/>
        <w:numPr>
          <w:ilvl w:val="0"/>
          <w:numId w:val="22"/>
        </w:numPr>
        <w:ind w:left="1276"/>
        <w:rPr>
          <w:rFonts w:ascii="Akkurat" w:hAnsi="Akkurat" w:cs="Cavolini"/>
        </w:rPr>
      </w:pPr>
      <w:r w:rsidRPr="00924D64">
        <w:rPr>
          <w:rFonts w:ascii="Akkurat" w:hAnsi="Akkurat" w:cs="Cavolini"/>
        </w:rPr>
        <w:t>Confirmation via declaration that the operator is not bankrupt, guilty of corruption, fraud, money laundering, membership of a criminal organisation, not involved in child labour and/or human trafficking and is fully compliant with all its statutory obligations.</w:t>
      </w:r>
    </w:p>
    <w:p w14:paraId="29966DF7" w14:textId="77777777" w:rsidR="00924D64" w:rsidRPr="0058388A" w:rsidRDefault="00924D64"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 xml:space="preserve">5.2 </w:t>
      </w:r>
      <w:r w:rsidR="0028562F" w:rsidRPr="0058388A">
        <w:rPr>
          <w:rFonts w:ascii="Akkurat" w:eastAsia="Times New Roman" w:hAnsi="Akkurat" w:cs="Segoe UI"/>
          <w:b/>
          <w:bCs/>
          <w:sz w:val="24"/>
          <w:szCs w:val="24"/>
          <w:lang w:eastAsia="en-IE"/>
        </w:rPr>
        <w:tab/>
      </w:r>
      <w:r w:rsidR="00430EAB" w:rsidRPr="0058388A">
        <w:rPr>
          <w:rFonts w:ascii="Akkurat" w:eastAsia="Times New Roman" w:hAnsi="Akkurat" w:cs="Segoe UI"/>
          <w:b/>
          <w:bCs/>
          <w:sz w:val="24"/>
          <w:szCs w:val="24"/>
          <w:lang w:eastAsia="en-IE"/>
        </w:rPr>
        <w:t>Award Criteria</w:t>
      </w:r>
    </w:p>
    <w:p w14:paraId="0B0558C0" w14:textId="77777777" w:rsidR="00CB6E9F" w:rsidRDefault="00430EAB" w:rsidP="006228B9">
      <w:pPr>
        <w:ind w:left="851"/>
        <w:rPr>
          <w:rFonts w:ascii="Akkurat" w:hAnsi="Akkurat" w:cs="Cavolini"/>
        </w:rPr>
      </w:pPr>
      <w:r w:rsidRPr="00430EAB">
        <w:rPr>
          <w:rFonts w:ascii="Akkurat" w:hAnsi="Akkurat" w:cs="Cavolini"/>
        </w:rPr>
        <w:t xml:space="preserve">The contract will be awarded on the basis of a quality and cost evaluation as assessed by the Contracting </w:t>
      </w:r>
      <w:r>
        <w:rPr>
          <w:rFonts w:ascii="Akkurat" w:hAnsi="Akkurat" w:cs="Cavolini"/>
        </w:rPr>
        <w:t>Company</w:t>
      </w:r>
      <w:r w:rsidRPr="00430EAB">
        <w:rPr>
          <w:rFonts w:ascii="Akkurat" w:hAnsi="Akkurat" w:cs="Cavolini"/>
        </w:rPr>
        <w:t xml:space="preserve">, who is not obliged to accept the lowest or indeed any quotation. The </w:t>
      </w:r>
      <w:r>
        <w:rPr>
          <w:rFonts w:ascii="Akkurat" w:hAnsi="Akkurat" w:cs="Cavolini"/>
        </w:rPr>
        <w:t>Contract</w:t>
      </w:r>
      <w:r w:rsidR="00CB6E9F" w:rsidRPr="00430EAB">
        <w:rPr>
          <w:rFonts w:ascii="Akkurat" w:hAnsi="Akkurat" w:cs="Cavolini"/>
        </w:rPr>
        <w:t xml:space="preserve"> will be evaluated using the following criteria. The highest-scoring compliant tender will be recommended for award;</w:t>
      </w:r>
    </w:p>
    <w:p w14:paraId="672A842E" w14:textId="77777777" w:rsidR="00430EAB" w:rsidRPr="00430EAB" w:rsidRDefault="00430EAB" w:rsidP="00430EAB">
      <w:pPr>
        <w:ind w:left="360"/>
        <w:rPr>
          <w:rFonts w:ascii="Akkurat" w:hAnsi="Akkurat" w:cs="Cavolini"/>
        </w:rPr>
      </w:pPr>
    </w:p>
    <w:tbl>
      <w:tblPr>
        <w:tblW w:w="0" w:type="auto"/>
        <w:tblCellSpacing w:w="15" w:type="dxa"/>
        <w:tblInd w:w="843" w:type="dxa"/>
        <w:tblCellMar>
          <w:top w:w="15" w:type="dxa"/>
          <w:left w:w="15" w:type="dxa"/>
          <w:bottom w:w="15" w:type="dxa"/>
          <w:right w:w="15" w:type="dxa"/>
        </w:tblCellMar>
        <w:tblLook w:val="04A0" w:firstRow="1" w:lastRow="0" w:firstColumn="1" w:lastColumn="0" w:noHBand="0" w:noVBand="1"/>
      </w:tblPr>
      <w:tblGrid>
        <w:gridCol w:w="4669"/>
        <w:gridCol w:w="1739"/>
      </w:tblGrid>
      <w:tr w:rsidR="00CB6E9F" w:rsidRPr="00311024" w14:paraId="4FB00508" w14:textId="77777777"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1DCF05" w14:textId="77777777" w:rsidR="00CB6E9F" w:rsidRPr="00311024" w:rsidRDefault="00CB6E9F" w:rsidP="009F54B6">
            <w:pPr>
              <w:spacing w:after="0" w:line="240" w:lineRule="auto"/>
              <w:rPr>
                <w:rFonts w:ascii="Akkurat" w:eastAsia="Times New Roman" w:hAnsi="Akkurat" w:cs="Times New Roman"/>
                <w:b/>
                <w:bCs/>
                <w:lang w:eastAsia="en-IE"/>
              </w:rPr>
            </w:pPr>
            <w:r w:rsidRPr="00311024">
              <w:rPr>
                <w:rFonts w:ascii="Akkurat" w:eastAsia="Times New Roman" w:hAnsi="Akkurat" w:cs="Times New Roman"/>
                <w:b/>
                <w:bCs/>
                <w:lang w:eastAsia="en-IE"/>
              </w:rPr>
              <w:t>Criterion</w:t>
            </w:r>
          </w:p>
        </w:tc>
        <w:tc>
          <w:tcPr>
            <w:tcW w:w="169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9BEBC0" w14:textId="77777777" w:rsidR="00CB6E9F" w:rsidRPr="00311024" w:rsidRDefault="00CB6E9F" w:rsidP="009F54B6">
            <w:pPr>
              <w:spacing w:after="0" w:line="240" w:lineRule="auto"/>
              <w:ind w:left="219"/>
              <w:rPr>
                <w:rFonts w:ascii="Akkurat" w:eastAsia="Times New Roman" w:hAnsi="Akkurat" w:cs="Times New Roman"/>
                <w:b/>
                <w:bCs/>
                <w:lang w:eastAsia="en-IE"/>
              </w:rPr>
            </w:pPr>
            <w:r w:rsidRPr="00311024">
              <w:rPr>
                <w:rFonts w:ascii="Akkurat" w:eastAsia="Times New Roman" w:hAnsi="Akkurat" w:cs="Times New Roman"/>
                <w:b/>
                <w:bCs/>
                <w:lang w:eastAsia="en-IE"/>
              </w:rPr>
              <w:t>Weighting</w:t>
            </w:r>
          </w:p>
        </w:tc>
      </w:tr>
      <w:tr w:rsidR="00CB6E9F" w:rsidRPr="00311024" w14:paraId="699B1DFC" w14:textId="77777777"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14:paraId="2EBDED68" w14:textId="77777777"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Relevant Experience &amp; Track Record</w:t>
            </w:r>
          </w:p>
        </w:tc>
        <w:tc>
          <w:tcPr>
            <w:tcW w:w="1694" w:type="dxa"/>
            <w:tcBorders>
              <w:top w:val="single" w:sz="6" w:space="0" w:color="E6E6E6"/>
              <w:left w:val="single" w:sz="6" w:space="0" w:color="E6E6E6"/>
              <w:bottom w:val="single" w:sz="6" w:space="0" w:color="E6E6E6"/>
              <w:right w:val="single" w:sz="6" w:space="0" w:color="E6E6E6"/>
            </w:tcBorders>
            <w:vAlign w:val="center"/>
            <w:hideMark/>
          </w:tcPr>
          <w:p w14:paraId="47497F08" w14:textId="77777777"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30%</w:t>
            </w:r>
          </w:p>
        </w:tc>
      </w:tr>
      <w:tr w:rsidR="00CB6E9F" w:rsidRPr="00311024" w14:paraId="64492246" w14:textId="77777777"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14:paraId="7EDA42B5" w14:textId="77777777"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Understanding of the Brief</w:t>
            </w:r>
          </w:p>
        </w:tc>
        <w:tc>
          <w:tcPr>
            <w:tcW w:w="1694" w:type="dxa"/>
            <w:tcBorders>
              <w:top w:val="single" w:sz="6" w:space="0" w:color="E6E6E6"/>
              <w:left w:val="single" w:sz="6" w:space="0" w:color="E6E6E6"/>
              <w:bottom w:val="single" w:sz="6" w:space="0" w:color="E6E6E6"/>
              <w:right w:val="single" w:sz="6" w:space="0" w:color="E6E6E6"/>
            </w:tcBorders>
            <w:vAlign w:val="center"/>
            <w:hideMark/>
          </w:tcPr>
          <w:p w14:paraId="163E04C1" w14:textId="77777777"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20%</w:t>
            </w:r>
          </w:p>
        </w:tc>
      </w:tr>
      <w:tr w:rsidR="00CB6E9F" w:rsidRPr="00311024" w14:paraId="22CAFD4B" w14:textId="77777777"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14:paraId="64B4C02D" w14:textId="77777777"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Proposed Methodology &amp; Approach</w:t>
            </w:r>
          </w:p>
        </w:tc>
        <w:tc>
          <w:tcPr>
            <w:tcW w:w="1694" w:type="dxa"/>
            <w:tcBorders>
              <w:top w:val="single" w:sz="6" w:space="0" w:color="E6E6E6"/>
              <w:left w:val="single" w:sz="6" w:space="0" w:color="E6E6E6"/>
              <w:bottom w:val="single" w:sz="6" w:space="0" w:color="E6E6E6"/>
              <w:right w:val="single" w:sz="6" w:space="0" w:color="E6E6E6"/>
            </w:tcBorders>
            <w:vAlign w:val="center"/>
            <w:hideMark/>
          </w:tcPr>
          <w:p w14:paraId="053D7C02" w14:textId="77777777"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25%</w:t>
            </w:r>
          </w:p>
        </w:tc>
      </w:tr>
      <w:tr w:rsidR="00CB6E9F" w:rsidRPr="00311024" w14:paraId="1436C045" w14:textId="77777777"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14:paraId="6063F24C" w14:textId="77777777"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Project Team &amp; Capacity</w:t>
            </w:r>
          </w:p>
        </w:tc>
        <w:tc>
          <w:tcPr>
            <w:tcW w:w="1694" w:type="dxa"/>
            <w:tcBorders>
              <w:top w:val="single" w:sz="6" w:space="0" w:color="E6E6E6"/>
              <w:left w:val="single" w:sz="6" w:space="0" w:color="E6E6E6"/>
              <w:bottom w:val="single" w:sz="6" w:space="0" w:color="E6E6E6"/>
              <w:right w:val="single" w:sz="6" w:space="0" w:color="E6E6E6"/>
            </w:tcBorders>
            <w:vAlign w:val="center"/>
            <w:hideMark/>
          </w:tcPr>
          <w:p w14:paraId="75533575" w14:textId="77777777"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15%</w:t>
            </w:r>
          </w:p>
        </w:tc>
      </w:tr>
      <w:tr w:rsidR="00CB6E9F" w:rsidRPr="00311024" w14:paraId="13BA847B" w14:textId="77777777"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14:paraId="137AC6CC" w14:textId="77777777"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Cost &amp; Value for Money</w:t>
            </w:r>
          </w:p>
        </w:tc>
        <w:tc>
          <w:tcPr>
            <w:tcW w:w="1694" w:type="dxa"/>
            <w:tcBorders>
              <w:top w:val="single" w:sz="6" w:space="0" w:color="E6E6E6"/>
              <w:left w:val="single" w:sz="6" w:space="0" w:color="E6E6E6"/>
              <w:bottom w:val="single" w:sz="6" w:space="0" w:color="E6E6E6"/>
              <w:right w:val="single" w:sz="6" w:space="0" w:color="E6E6E6"/>
            </w:tcBorders>
            <w:vAlign w:val="center"/>
            <w:hideMark/>
          </w:tcPr>
          <w:p w14:paraId="68294EA2" w14:textId="77777777"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10%</w:t>
            </w:r>
          </w:p>
        </w:tc>
      </w:tr>
    </w:tbl>
    <w:p w14:paraId="75791E2C" w14:textId="77777777" w:rsidR="00430EAB" w:rsidRPr="00430EAB" w:rsidRDefault="00430EAB" w:rsidP="00CB6E9F">
      <w:pPr>
        <w:pStyle w:val="Heading2"/>
        <w:rPr>
          <w:rFonts w:ascii="Akkurat" w:hAnsi="Akkurat" w:cs="Cavolini"/>
          <w:sz w:val="4"/>
        </w:rPr>
      </w:pPr>
    </w:p>
    <w:p w14:paraId="428786BB" w14:textId="77777777" w:rsidR="00267C57" w:rsidRDefault="00267C57">
      <w:pPr>
        <w:rPr>
          <w:rFonts w:ascii="Akkurat" w:eastAsia="Times New Roman" w:hAnsi="Akkurat" w:cs="Segoe UI"/>
          <w:b/>
          <w:bCs/>
          <w:sz w:val="36"/>
          <w:szCs w:val="36"/>
          <w:lang w:eastAsia="en-IE"/>
        </w:rPr>
      </w:pPr>
      <w:r>
        <w:rPr>
          <w:rFonts w:ascii="Akkurat" w:eastAsia="Times New Roman" w:hAnsi="Akkurat" w:cs="Segoe UI"/>
          <w:b/>
          <w:bCs/>
          <w:sz w:val="36"/>
          <w:szCs w:val="36"/>
          <w:lang w:eastAsia="en-IE"/>
        </w:rPr>
        <w:br w:type="page"/>
      </w:r>
    </w:p>
    <w:p w14:paraId="64487A70" w14:textId="77777777" w:rsidR="00430EAB" w:rsidRPr="0058388A" w:rsidRDefault="00430EAB"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 xml:space="preserve">Contract </w:t>
      </w:r>
      <w:r w:rsidR="00267C57" w:rsidRPr="0058388A">
        <w:rPr>
          <w:rFonts w:ascii="Akkurat" w:eastAsia="Times New Roman" w:hAnsi="Akkurat" w:cs="Segoe UI"/>
          <w:b/>
          <w:bCs/>
          <w:sz w:val="28"/>
          <w:szCs w:val="28"/>
          <w:u w:val="single"/>
          <w:lang w:eastAsia="en-IE"/>
        </w:rPr>
        <w:t>Submission</w:t>
      </w:r>
      <w:r w:rsidRPr="0058388A">
        <w:rPr>
          <w:rFonts w:ascii="Akkurat" w:eastAsia="Times New Roman" w:hAnsi="Akkurat" w:cs="Segoe UI"/>
          <w:b/>
          <w:bCs/>
          <w:sz w:val="28"/>
          <w:szCs w:val="28"/>
          <w:u w:val="single"/>
          <w:lang w:eastAsia="en-IE"/>
        </w:rPr>
        <w:t xml:space="preserve"> Response</w:t>
      </w:r>
      <w:r w:rsidR="00F209A4" w:rsidRPr="0058388A">
        <w:rPr>
          <w:rFonts w:ascii="Akkurat" w:eastAsia="Times New Roman" w:hAnsi="Akkurat" w:cs="Segoe UI"/>
          <w:b/>
          <w:bCs/>
          <w:sz w:val="28"/>
          <w:szCs w:val="28"/>
          <w:u w:val="single"/>
          <w:lang w:eastAsia="en-IE"/>
        </w:rPr>
        <w:tab/>
      </w:r>
    </w:p>
    <w:p w14:paraId="4B8E17F8" w14:textId="77777777" w:rsidR="00430EAB" w:rsidRPr="00430EAB" w:rsidRDefault="00430EAB" w:rsidP="006228B9">
      <w:pPr>
        <w:ind w:left="851"/>
        <w:rPr>
          <w:rFonts w:ascii="Akkurat" w:hAnsi="Akkurat" w:cs="Cavolini"/>
        </w:rPr>
      </w:pPr>
      <w:r w:rsidRPr="00430EAB">
        <w:rPr>
          <w:rFonts w:ascii="Akkurat" w:hAnsi="Akkurat" w:cs="Cavolini"/>
        </w:rPr>
        <w:t xml:space="preserve">Service Providers/Supplies are required to complete the separate Quotation Response Document (QRD) which contains: </w:t>
      </w:r>
    </w:p>
    <w:p w14:paraId="253A538C" w14:textId="77777777" w:rsidR="00430EAB" w:rsidRPr="00430EAB" w:rsidRDefault="00430EAB" w:rsidP="006228B9">
      <w:pPr>
        <w:pStyle w:val="ListParagraph"/>
        <w:numPr>
          <w:ilvl w:val="0"/>
          <w:numId w:val="24"/>
        </w:numPr>
        <w:ind w:left="1276"/>
        <w:rPr>
          <w:rFonts w:ascii="Akkurat" w:hAnsi="Akkurat" w:cs="Cavolini"/>
        </w:rPr>
      </w:pPr>
      <w:r w:rsidRPr="00430EAB">
        <w:rPr>
          <w:rFonts w:ascii="Akkurat" w:hAnsi="Akkurat" w:cs="Cavolini"/>
        </w:rPr>
        <w:t>General operator Information</w:t>
      </w:r>
    </w:p>
    <w:p w14:paraId="49A3DC27" w14:textId="77777777" w:rsidR="00430EAB" w:rsidRPr="00430EAB" w:rsidRDefault="00430EAB" w:rsidP="006228B9">
      <w:pPr>
        <w:pStyle w:val="ListParagraph"/>
        <w:numPr>
          <w:ilvl w:val="0"/>
          <w:numId w:val="24"/>
        </w:numPr>
        <w:ind w:left="1276"/>
        <w:rPr>
          <w:rFonts w:ascii="Akkurat" w:hAnsi="Akkurat" w:cs="Cavolini"/>
        </w:rPr>
      </w:pPr>
      <w:r w:rsidRPr="00430EAB">
        <w:rPr>
          <w:rFonts w:ascii="Akkurat" w:hAnsi="Akkurat" w:cs="Cavolini"/>
        </w:rPr>
        <w:t>Information regarding compliance– tax, insurances and declarations</w:t>
      </w:r>
    </w:p>
    <w:p w14:paraId="2E41AA26" w14:textId="77777777" w:rsidR="00430EAB" w:rsidRPr="009F54B6" w:rsidRDefault="00430EAB" w:rsidP="009F54B6">
      <w:pPr>
        <w:pStyle w:val="ListParagraph"/>
        <w:numPr>
          <w:ilvl w:val="0"/>
          <w:numId w:val="24"/>
        </w:numPr>
        <w:ind w:left="1276"/>
        <w:rPr>
          <w:rFonts w:ascii="Akkurat" w:hAnsi="Akkurat" w:cs="Cavolini"/>
        </w:rPr>
      </w:pPr>
      <w:r w:rsidRPr="00430EAB">
        <w:rPr>
          <w:rFonts w:ascii="Akkurat" w:hAnsi="Akkurat" w:cs="Cavolini"/>
        </w:rPr>
        <w:t xml:space="preserve">The Quotation Form for pricing information </w:t>
      </w:r>
    </w:p>
    <w:p w14:paraId="28292F73" w14:textId="77777777" w:rsidR="00430EAB" w:rsidRPr="00311024" w:rsidRDefault="00430EAB" w:rsidP="006228B9">
      <w:pPr>
        <w:spacing w:before="100" w:beforeAutospacing="1" w:after="100" w:afterAutospacing="1" w:line="300" w:lineRule="atLeast"/>
        <w:ind w:left="851"/>
        <w:rPr>
          <w:rFonts w:ascii="Akkurat" w:eastAsia="Times New Roman" w:hAnsi="Akkurat" w:cs="Segoe UI"/>
          <w:lang w:eastAsia="en-IE"/>
        </w:rPr>
      </w:pPr>
      <w:r>
        <w:rPr>
          <w:rFonts w:ascii="Akkurat" w:eastAsia="Times New Roman" w:hAnsi="Akkurat" w:cs="Segoe UI"/>
          <w:lang w:eastAsia="en-IE"/>
        </w:rPr>
        <w:t>Contract</w:t>
      </w:r>
      <w:r w:rsidRPr="00311024">
        <w:rPr>
          <w:rFonts w:ascii="Akkurat" w:eastAsia="Times New Roman" w:hAnsi="Akkurat" w:cs="Segoe UI"/>
          <w:lang w:eastAsia="en-IE"/>
        </w:rPr>
        <w:t xml:space="preserve"> submissions must </w:t>
      </w:r>
      <w:r>
        <w:rPr>
          <w:rFonts w:ascii="Akkurat" w:eastAsia="Times New Roman" w:hAnsi="Akkurat" w:cs="Segoe UI"/>
          <w:lang w:eastAsia="en-IE"/>
        </w:rPr>
        <w:t>also include 1 Document including the following required information.</w:t>
      </w:r>
      <w:r w:rsidRPr="00430EAB">
        <w:rPr>
          <w:rFonts w:ascii="Akkurat" w:eastAsia="Times New Roman" w:hAnsi="Akkurat" w:cs="Segoe UI"/>
          <w:sz w:val="21"/>
          <w:szCs w:val="21"/>
          <w:lang w:eastAsia="en-IE"/>
        </w:rPr>
        <w:t xml:space="preserve"> </w:t>
      </w:r>
      <w:r w:rsidRPr="00DC1E0D">
        <w:rPr>
          <w:rFonts w:ascii="Akkurat" w:eastAsia="Times New Roman" w:hAnsi="Akkurat" w:cs="Segoe UI"/>
          <w:sz w:val="21"/>
          <w:szCs w:val="21"/>
          <w:lang w:eastAsia="en-IE"/>
        </w:rPr>
        <w:t xml:space="preserve">Submissions should not exceed </w:t>
      </w:r>
      <w:r>
        <w:rPr>
          <w:rFonts w:ascii="Akkurat" w:eastAsia="Times New Roman" w:hAnsi="Akkurat" w:cs="Segoe UI"/>
          <w:sz w:val="21"/>
          <w:szCs w:val="21"/>
          <w:lang w:eastAsia="en-IE"/>
        </w:rPr>
        <w:t>20 pages</w:t>
      </w:r>
      <w:r w:rsidRPr="00DC1E0D">
        <w:rPr>
          <w:rFonts w:ascii="Akkurat" w:eastAsia="Times New Roman" w:hAnsi="Akkurat" w:cs="Segoe UI"/>
          <w:sz w:val="21"/>
          <w:szCs w:val="21"/>
          <w:lang w:eastAsia="en-IE"/>
        </w:rPr>
        <w:t xml:space="preserve"> excluding appendices</w:t>
      </w:r>
      <w:r>
        <w:rPr>
          <w:rFonts w:ascii="Akkurat" w:eastAsia="Times New Roman" w:hAnsi="Akkurat" w:cs="Segoe UI"/>
          <w:sz w:val="21"/>
          <w:szCs w:val="21"/>
          <w:lang w:eastAsia="en-IE"/>
        </w:rPr>
        <w:t xml:space="preserve">. The exclusion any of the items 1-8 below will result in elimination from assessment </w:t>
      </w:r>
    </w:p>
    <w:p w14:paraId="4F0E18BB" w14:textId="77777777"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Company / Consultant Profile</w:t>
      </w:r>
    </w:p>
    <w:p w14:paraId="6AD7A27C" w14:textId="77777777"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Relevant Experience and Track Record</w:t>
      </w:r>
    </w:p>
    <w:p w14:paraId="6D81661B" w14:textId="77777777"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Understanding of the Brief</w:t>
      </w:r>
    </w:p>
    <w:p w14:paraId="18370BC7" w14:textId="77777777"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Proposed Methodology and Work Plan</w:t>
      </w:r>
    </w:p>
    <w:p w14:paraId="12CB8F69" w14:textId="77777777"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Project Team and Roles</w:t>
      </w:r>
    </w:p>
    <w:p w14:paraId="264978E0" w14:textId="77777777"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Approach to Consultation and Engagement</w:t>
      </w:r>
    </w:p>
    <w:p w14:paraId="6BAEF905" w14:textId="77777777"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Equality, Diversity, Inclusion, and Sustainability Considerations</w:t>
      </w:r>
    </w:p>
    <w:p w14:paraId="3294383E" w14:textId="77777777" w:rsidR="00430EAB" w:rsidRPr="004D4066"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Project Timeline</w:t>
      </w:r>
    </w:p>
    <w:bookmarkEnd w:id="8"/>
    <w:bookmarkEnd w:id="9"/>
    <w:p w14:paraId="7B3E6D13" w14:textId="77777777" w:rsidR="00267C57" w:rsidRPr="0058388A" w:rsidRDefault="00DC1E0D"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t>Submission Details</w:t>
      </w:r>
      <w:r w:rsidR="00F209A4" w:rsidRPr="0058388A">
        <w:rPr>
          <w:rFonts w:ascii="Akkurat" w:eastAsia="Times New Roman" w:hAnsi="Akkurat" w:cs="Segoe UI"/>
          <w:b/>
          <w:bCs/>
          <w:sz w:val="28"/>
          <w:szCs w:val="28"/>
          <w:u w:val="single"/>
          <w:lang w:eastAsia="en-IE"/>
        </w:rPr>
        <w:tab/>
      </w:r>
    </w:p>
    <w:p w14:paraId="24EB67D7" w14:textId="28FF81FF" w:rsidR="00DC1E0D" w:rsidRPr="00142B23" w:rsidRDefault="00DC1E0D" w:rsidP="006228B9">
      <w:pPr>
        <w:ind w:left="851"/>
        <w:rPr>
          <w:rFonts w:ascii="Akkurat" w:hAnsi="Akkurat" w:cs="Cavolini"/>
          <w:sz w:val="24"/>
          <w:szCs w:val="24"/>
        </w:rPr>
      </w:pPr>
      <w:r w:rsidRPr="009F54B6">
        <w:rPr>
          <w:rFonts w:ascii="Akkurat" w:eastAsia="Times New Roman" w:hAnsi="Akkurat" w:cs="Segoe UI"/>
          <w:b/>
          <w:bCs/>
          <w:sz w:val="24"/>
          <w:szCs w:val="24"/>
          <w:lang w:eastAsia="en-IE"/>
        </w:rPr>
        <w:t>Deadline for Submission:</w:t>
      </w:r>
      <w:r w:rsidRPr="009F54B6">
        <w:rPr>
          <w:rFonts w:ascii="Akkurat" w:hAnsi="Akkurat" w:cs="Cavolini"/>
          <w:sz w:val="24"/>
          <w:szCs w:val="24"/>
        </w:rPr>
        <w:br/>
      </w:r>
      <w:r w:rsidR="000B092F">
        <w:rPr>
          <w:rFonts w:ascii="Akkurat" w:hAnsi="Akkurat" w:cs="Cavolini"/>
          <w:sz w:val="24"/>
          <w:szCs w:val="24"/>
        </w:rPr>
        <w:t>Saturday, 13</w:t>
      </w:r>
      <w:r w:rsidR="000B092F" w:rsidRPr="000B092F">
        <w:rPr>
          <w:rFonts w:ascii="Akkurat" w:hAnsi="Akkurat" w:cs="Cavolini"/>
          <w:sz w:val="24"/>
          <w:szCs w:val="24"/>
          <w:vertAlign w:val="superscript"/>
        </w:rPr>
        <w:t>th</w:t>
      </w:r>
      <w:r w:rsidR="000B092F">
        <w:rPr>
          <w:rFonts w:ascii="Akkurat" w:hAnsi="Akkurat" w:cs="Cavolini"/>
          <w:sz w:val="24"/>
          <w:szCs w:val="24"/>
        </w:rPr>
        <w:t xml:space="preserve"> June</w:t>
      </w:r>
      <w:r w:rsidR="006228B9">
        <w:rPr>
          <w:rFonts w:ascii="Akkurat" w:hAnsi="Akkurat" w:cs="Cavolini"/>
          <w:sz w:val="24"/>
          <w:szCs w:val="24"/>
        </w:rPr>
        <w:t xml:space="preserve"> 2026, </w:t>
      </w:r>
      <w:r w:rsidR="00C213E8" w:rsidRPr="00142B23">
        <w:rPr>
          <w:rFonts w:ascii="Akkurat" w:hAnsi="Akkurat" w:cs="Cavolini"/>
          <w:sz w:val="24"/>
          <w:szCs w:val="24"/>
        </w:rPr>
        <w:t>5.00 p.m.</w:t>
      </w:r>
      <w:r w:rsidR="00B76EA4" w:rsidRPr="00142B23">
        <w:rPr>
          <w:rFonts w:ascii="Akkurat" w:hAnsi="Akkurat" w:cs="Cavolini"/>
          <w:sz w:val="24"/>
          <w:szCs w:val="24"/>
        </w:rPr>
        <w:t xml:space="preserve"> Late submissions will not be accepted</w:t>
      </w:r>
    </w:p>
    <w:p w14:paraId="75FB7958" w14:textId="77777777" w:rsidR="002D1AE8" w:rsidRPr="00142B23" w:rsidRDefault="00DC1E0D" w:rsidP="002D1AE8">
      <w:pPr>
        <w:ind w:left="851" w:firstLine="6"/>
        <w:rPr>
          <w:rFonts w:ascii="Akkurat" w:hAnsi="Akkurat" w:cs="Cavolini"/>
          <w:sz w:val="24"/>
          <w:szCs w:val="24"/>
        </w:rPr>
      </w:pPr>
      <w:r w:rsidRPr="009F54B6">
        <w:rPr>
          <w:rFonts w:ascii="Akkurat" w:eastAsia="Times New Roman" w:hAnsi="Akkurat" w:cs="Segoe UI"/>
          <w:b/>
          <w:bCs/>
          <w:sz w:val="24"/>
          <w:szCs w:val="24"/>
          <w:lang w:eastAsia="en-IE"/>
        </w:rPr>
        <w:t>Method of Submission:</w:t>
      </w:r>
      <w:r w:rsidRPr="009F54B6">
        <w:rPr>
          <w:rFonts w:ascii="Akkurat" w:eastAsia="Times New Roman" w:hAnsi="Akkurat" w:cs="Segoe UI"/>
          <w:b/>
          <w:bCs/>
          <w:sz w:val="24"/>
          <w:szCs w:val="24"/>
          <w:lang w:eastAsia="en-IE"/>
        </w:rPr>
        <w:br/>
      </w:r>
      <w:r w:rsidR="00267C57" w:rsidRPr="00142B23">
        <w:rPr>
          <w:rFonts w:ascii="Akkurat" w:hAnsi="Akkurat" w:cs="Cavolini"/>
          <w:sz w:val="24"/>
          <w:szCs w:val="24"/>
        </w:rPr>
        <w:t xml:space="preserve">Email to </w:t>
      </w:r>
      <w:hyperlink r:id="rId10" w:history="1">
        <w:r w:rsidR="002D1AE8" w:rsidRPr="002D1AE8">
          <w:rPr>
            <w:rStyle w:val="Hyperlink"/>
            <w:rFonts w:ascii="Akkurat" w:hAnsi="Akkurat" w:cs="Cavolini"/>
            <w:color w:val="000000" w:themeColor="text1"/>
            <w:sz w:val="24"/>
            <w:szCs w:val="24"/>
          </w:rPr>
          <w:t>alison.dowling@solsticeartscentre.ie</w:t>
        </w:r>
      </w:hyperlink>
    </w:p>
    <w:p w14:paraId="4B6B27CB" w14:textId="77777777" w:rsidR="00DC1E0D" w:rsidRPr="00142B23" w:rsidRDefault="00DC1E0D" w:rsidP="006228B9">
      <w:pPr>
        <w:ind w:left="851"/>
        <w:rPr>
          <w:rFonts w:ascii="Akkurat" w:hAnsi="Akkurat" w:cs="Cavolini"/>
          <w:sz w:val="24"/>
          <w:szCs w:val="24"/>
        </w:rPr>
      </w:pPr>
    </w:p>
    <w:p w14:paraId="68E27647" w14:textId="77777777" w:rsidR="006228B9" w:rsidRPr="009F54B6" w:rsidRDefault="00142B23" w:rsidP="006228B9">
      <w:pPr>
        <w:ind w:left="851" w:firstLine="6"/>
        <w:rPr>
          <w:rFonts w:ascii="Akkurat" w:eastAsia="Times New Roman" w:hAnsi="Akkurat" w:cs="Segoe UI"/>
          <w:b/>
          <w:bCs/>
          <w:sz w:val="24"/>
          <w:szCs w:val="24"/>
          <w:lang w:eastAsia="en-IE"/>
        </w:rPr>
      </w:pPr>
      <w:r w:rsidRPr="009F54B6">
        <w:rPr>
          <w:rFonts w:ascii="Akkurat" w:eastAsia="Times New Roman" w:hAnsi="Akkurat" w:cs="Segoe UI"/>
          <w:b/>
          <w:bCs/>
          <w:sz w:val="24"/>
          <w:szCs w:val="24"/>
          <w:lang w:eastAsia="en-IE"/>
        </w:rPr>
        <w:t>Clarifications Requests</w:t>
      </w:r>
    </w:p>
    <w:p w14:paraId="52E07256" w14:textId="1B6C0348" w:rsidR="00142B23" w:rsidRPr="00142B23" w:rsidRDefault="006228B9" w:rsidP="006228B9">
      <w:pPr>
        <w:ind w:left="851" w:firstLine="6"/>
        <w:rPr>
          <w:rFonts w:ascii="Akkurat" w:hAnsi="Akkurat" w:cs="Cavolini"/>
          <w:sz w:val="24"/>
          <w:szCs w:val="24"/>
        </w:rPr>
      </w:pPr>
      <w:r>
        <w:rPr>
          <w:rFonts w:ascii="Akkurat" w:hAnsi="Akkurat" w:cs="Cavolini"/>
          <w:sz w:val="24"/>
          <w:szCs w:val="24"/>
        </w:rPr>
        <w:t>C</w:t>
      </w:r>
      <w:r w:rsidR="00142B23" w:rsidRPr="00142B23">
        <w:rPr>
          <w:rFonts w:ascii="Akkurat" w:hAnsi="Akkurat" w:cs="Cavolini"/>
          <w:sz w:val="24"/>
          <w:szCs w:val="24"/>
        </w:rPr>
        <w:t>larification</w:t>
      </w:r>
      <w:r>
        <w:rPr>
          <w:rFonts w:ascii="Akkurat" w:hAnsi="Akkurat" w:cs="Cavolini"/>
          <w:sz w:val="24"/>
          <w:szCs w:val="24"/>
        </w:rPr>
        <w:t>s</w:t>
      </w:r>
      <w:r w:rsidR="00142B23" w:rsidRPr="00142B23">
        <w:rPr>
          <w:rFonts w:ascii="Akkurat" w:hAnsi="Akkurat" w:cs="Cavolini"/>
          <w:sz w:val="24"/>
          <w:szCs w:val="24"/>
        </w:rPr>
        <w:t xml:space="preserve"> must be submitted </w:t>
      </w:r>
      <w:r w:rsidR="004D4066">
        <w:rPr>
          <w:rFonts w:ascii="Akkurat" w:hAnsi="Akkurat" w:cs="Cavolini"/>
          <w:sz w:val="24"/>
          <w:szCs w:val="24"/>
        </w:rPr>
        <w:t>by email only</w:t>
      </w:r>
      <w:r w:rsidR="00142B23" w:rsidRPr="00142B23">
        <w:rPr>
          <w:rFonts w:ascii="Akkurat" w:hAnsi="Akkurat" w:cs="Cavolini"/>
          <w:sz w:val="24"/>
          <w:szCs w:val="24"/>
        </w:rPr>
        <w:t xml:space="preserve"> by </w:t>
      </w:r>
      <w:r w:rsidR="000B092F">
        <w:rPr>
          <w:rFonts w:ascii="Akkurat" w:hAnsi="Akkurat" w:cs="Cavolini"/>
          <w:sz w:val="24"/>
          <w:szCs w:val="24"/>
        </w:rPr>
        <w:t xml:space="preserve">Saturday, </w:t>
      </w:r>
      <w:r w:rsidR="000B092F">
        <w:rPr>
          <w:rFonts w:ascii="Akkurat" w:hAnsi="Akkurat" w:cs="Cavolini"/>
          <w:b/>
          <w:sz w:val="24"/>
          <w:szCs w:val="24"/>
        </w:rPr>
        <w:t>June 6</w:t>
      </w:r>
      <w:r w:rsidR="000B092F" w:rsidRPr="000B092F">
        <w:rPr>
          <w:rFonts w:ascii="Akkurat" w:hAnsi="Akkurat" w:cs="Cavolini"/>
          <w:b/>
          <w:sz w:val="24"/>
          <w:szCs w:val="24"/>
          <w:vertAlign w:val="superscript"/>
        </w:rPr>
        <w:t>th</w:t>
      </w:r>
      <w:proofErr w:type="gramStart"/>
      <w:r w:rsidR="000B092F">
        <w:rPr>
          <w:rFonts w:ascii="Akkurat" w:hAnsi="Akkurat" w:cs="Cavolini"/>
          <w:b/>
          <w:sz w:val="24"/>
          <w:szCs w:val="24"/>
        </w:rPr>
        <w:t xml:space="preserve"> </w:t>
      </w:r>
      <w:r w:rsidR="00142B23" w:rsidRPr="006228B9">
        <w:rPr>
          <w:rFonts w:ascii="Akkurat" w:hAnsi="Akkurat" w:cs="Cavolini"/>
          <w:b/>
          <w:sz w:val="24"/>
          <w:szCs w:val="24"/>
        </w:rPr>
        <w:t>2026</w:t>
      </w:r>
      <w:proofErr w:type="gramEnd"/>
      <w:r w:rsidR="004D4066">
        <w:rPr>
          <w:rFonts w:ascii="Akkurat" w:hAnsi="Akkurat" w:cs="Cavolini"/>
          <w:sz w:val="24"/>
          <w:szCs w:val="24"/>
        </w:rPr>
        <w:t xml:space="preserve">. </w:t>
      </w:r>
      <w:r>
        <w:rPr>
          <w:rFonts w:ascii="Akkurat" w:hAnsi="Akkurat" w:cs="Cavolini"/>
          <w:sz w:val="24"/>
          <w:szCs w:val="24"/>
        </w:rPr>
        <w:t xml:space="preserve">Contact for </w:t>
      </w:r>
      <w:r w:rsidR="009F54B6">
        <w:rPr>
          <w:rFonts w:ascii="Akkurat" w:hAnsi="Akkurat" w:cs="Cavolini"/>
          <w:sz w:val="24"/>
          <w:szCs w:val="24"/>
        </w:rPr>
        <w:t>c</w:t>
      </w:r>
      <w:r>
        <w:rPr>
          <w:rFonts w:ascii="Akkurat" w:hAnsi="Akkurat" w:cs="Cavolini"/>
          <w:sz w:val="24"/>
          <w:szCs w:val="24"/>
        </w:rPr>
        <w:t xml:space="preserve">larifications: </w:t>
      </w:r>
      <w:r w:rsidR="009F54B6" w:rsidRPr="002D1AE8">
        <w:rPr>
          <w:rFonts w:ascii="Akkurat" w:hAnsi="Akkurat" w:cs="Cavolini"/>
          <w:color w:val="000000" w:themeColor="text1"/>
          <w:sz w:val="24"/>
          <w:szCs w:val="24"/>
        </w:rPr>
        <w:t>Alison Dowling</w:t>
      </w:r>
      <w:r w:rsidR="00C213E8" w:rsidRPr="002D1AE8">
        <w:rPr>
          <w:rFonts w:ascii="Akkurat" w:hAnsi="Akkurat" w:cs="Cavolini"/>
          <w:color w:val="000000" w:themeColor="text1"/>
          <w:sz w:val="24"/>
          <w:szCs w:val="24"/>
        </w:rPr>
        <w:t>,</w:t>
      </w:r>
      <w:r w:rsidR="009F54B6" w:rsidRPr="002D1AE8">
        <w:rPr>
          <w:rFonts w:ascii="Akkurat" w:hAnsi="Akkurat" w:cs="Cavolini"/>
          <w:color w:val="000000" w:themeColor="text1"/>
          <w:sz w:val="24"/>
          <w:szCs w:val="24"/>
        </w:rPr>
        <w:t xml:space="preserve"> </w:t>
      </w:r>
      <w:hyperlink r:id="rId11" w:history="1">
        <w:r w:rsidR="009F54B6" w:rsidRPr="002D1AE8">
          <w:rPr>
            <w:rStyle w:val="Hyperlink"/>
            <w:rFonts w:ascii="Akkurat" w:hAnsi="Akkurat" w:cs="Cavolini"/>
            <w:color w:val="000000" w:themeColor="text1"/>
            <w:sz w:val="24"/>
            <w:szCs w:val="24"/>
          </w:rPr>
          <w:t>alison.dowling@solsticeartscentre.ie</w:t>
        </w:r>
      </w:hyperlink>
    </w:p>
    <w:p w14:paraId="078F2057" w14:textId="77777777" w:rsidR="00142B23" w:rsidRDefault="00142B23">
      <w:pPr>
        <w:rPr>
          <w:rFonts w:cs="Cavolini"/>
        </w:rPr>
      </w:pPr>
      <w:r>
        <w:rPr>
          <w:rFonts w:cs="Cavolini"/>
        </w:rPr>
        <w:br w:type="page"/>
      </w:r>
    </w:p>
    <w:p w14:paraId="18D86DF1" w14:textId="77777777" w:rsidR="00DC1E0D" w:rsidRPr="0058388A" w:rsidRDefault="00DC1E0D"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 xml:space="preserve">Conditions of </w:t>
      </w:r>
      <w:r w:rsidR="00142B23" w:rsidRPr="0058388A">
        <w:rPr>
          <w:rFonts w:ascii="Akkurat" w:eastAsia="Times New Roman" w:hAnsi="Akkurat" w:cs="Segoe UI"/>
          <w:b/>
          <w:bCs/>
          <w:sz w:val="28"/>
          <w:szCs w:val="28"/>
          <w:u w:val="single"/>
          <w:lang w:eastAsia="en-IE"/>
        </w:rPr>
        <w:t>Contract Submission</w:t>
      </w:r>
      <w:r w:rsidR="00F209A4" w:rsidRPr="0058388A">
        <w:rPr>
          <w:rFonts w:ascii="Akkurat" w:eastAsia="Times New Roman" w:hAnsi="Akkurat" w:cs="Segoe UI"/>
          <w:b/>
          <w:bCs/>
          <w:sz w:val="28"/>
          <w:szCs w:val="28"/>
          <w:u w:val="single"/>
          <w:lang w:eastAsia="en-IE"/>
        </w:rPr>
        <w:tab/>
      </w:r>
    </w:p>
    <w:p w14:paraId="41FE8334" w14:textId="77777777" w:rsidR="00142B23" w:rsidRPr="0058388A" w:rsidRDefault="00142B23" w:rsidP="0028562F">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0" w:name="_Toc217713502"/>
      <w:bookmarkStart w:id="11" w:name="_Toc391403803"/>
      <w:bookmarkStart w:id="12" w:name="_Toc66368923"/>
      <w:r w:rsidRPr="0058388A">
        <w:rPr>
          <w:rFonts w:ascii="Akkurat" w:eastAsia="Times New Roman" w:hAnsi="Akkurat" w:cs="Segoe UI"/>
          <w:b/>
          <w:bCs/>
          <w:sz w:val="24"/>
          <w:szCs w:val="24"/>
          <w:lang w:eastAsia="en-IE"/>
        </w:rPr>
        <w:t>8.1</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Confidentiality</w:t>
      </w:r>
      <w:bookmarkEnd w:id="10"/>
      <w:bookmarkEnd w:id="11"/>
      <w:bookmarkEnd w:id="12"/>
    </w:p>
    <w:p w14:paraId="5BFC34C3" w14:textId="77777777" w:rsidR="00142B23" w:rsidRPr="00142B23" w:rsidRDefault="00142B23" w:rsidP="0028562F">
      <w:pPr>
        <w:ind w:left="851"/>
        <w:rPr>
          <w:rFonts w:ascii="Akkurat" w:hAnsi="Akkurat" w:cs="Cavolini"/>
        </w:rPr>
      </w:pPr>
      <w:r w:rsidRPr="00142B23">
        <w:rPr>
          <w:rFonts w:ascii="Akkurat" w:hAnsi="Akkurat" w:cs="Cavolini"/>
        </w:rPr>
        <w:t>The distribution of the quotation documents is for the sole purpose of obtaining offers. The distribution does not grant permission or licence to use the documents for any other</w:t>
      </w:r>
      <w:r w:rsidR="009F54B6">
        <w:rPr>
          <w:rFonts w:ascii="Akkurat" w:hAnsi="Akkurat" w:cs="Cavolini"/>
        </w:rPr>
        <w:t xml:space="preserve"> purpose. O</w:t>
      </w:r>
      <w:r w:rsidRPr="00142B23">
        <w:rPr>
          <w:rFonts w:ascii="Akkurat" w:hAnsi="Akkurat" w:cs="Cavolini"/>
        </w:rPr>
        <w:t xml:space="preserve">perators are required to treat the details of all documents supplied in connection with the quotation process as private and confidential. </w:t>
      </w:r>
    </w:p>
    <w:p w14:paraId="7580F2A1" w14:textId="77777777" w:rsidR="00142B23" w:rsidRPr="0058388A" w:rsidRDefault="00142B23" w:rsidP="0028562F">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3" w:name="_Toc217713503"/>
      <w:bookmarkStart w:id="14" w:name="_Toc391403804"/>
      <w:bookmarkStart w:id="15" w:name="_Toc66368924"/>
      <w:r w:rsidRPr="0058388A">
        <w:rPr>
          <w:rFonts w:ascii="Akkurat" w:eastAsia="Times New Roman" w:hAnsi="Akkurat" w:cs="Segoe UI"/>
          <w:b/>
          <w:bCs/>
          <w:sz w:val="24"/>
          <w:szCs w:val="24"/>
          <w:lang w:eastAsia="en-IE"/>
        </w:rPr>
        <w:t>8.2</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Conflict of Interest</w:t>
      </w:r>
      <w:bookmarkEnd w:id="13"/>
      <w:bookmarkEnd w:id="14"/>
      <w:bookmarkEnd w:id="15"/>
    </w:p>
    <w:p w14:paraId="6EE909DD" w14:textId="77777777" w:rsidR="00142B23" w:rsidRPr="00142B23" w:rsidRDefault="00142B23" w:rsidP="0028562F">
      <w:pPr>
        <w:ind w:left="851"/>
        <w:rPr>
          <w:rFonts w:ascii="Akkurat" w:hAnsi="Akkurat" w:cs="Cavolini"/>
        </w:rPr>
      </w:pPr>
      <w:r w:rsidRPr="00142B23">
        <w:rPr>
          <w:rFonts w:ascii="Akkurat" w:hAnsi="Akkurat" w:cs="Cavolini"/>
        </w:rPr>
        <w:t xml:space="preserve">Any conflict of interest involving an operator (or operators in the event of a consortium bid) must be fully disclosed to the Contracting </w:t>
      </w:r>
      <w:r w:rsidR="009F54B6">
        <w:rPr>
          <w:rFonts w:ascii="Akkurat" w:hAnsi="Akkurat" w:cs="Cavolini"/>
        </w:rPr>
        <w:t>Company</w:t>
      </w:r>
      <w:r w:rsidRPr="00142B23">
        <w:rPr>
          <w:rFonts w:ascii="Akkurat" w:hAnsi="Akkurat" w:cs="Cavolini"/>
        </w:rPr>
        <w:t xml:space="preserve">.  Any registrable interest involving the economic operator and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or employees of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or their relatives must be fully disclosed in the quotation submission or should be communicated to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immediately upon such information becoming known to the operator, in the event of this information only coming to their notice after the submission of a bid and prior to the award of the contract.  The terms ‘registrable interest' and 'relative' shall be interpreted as per Section 2 of the Ethi</w:t>
      </w:r>
      <w:r w:rsidR="009F54B6">
        <w:rPr>
          <w:rFonts w:ascii="Akkurat" w:hAnsi="Akkurat" w:cs="Cavolini"/>
        </w:rPr>
        <w:t xml:space="preserve">cs in Public Office Act, 1995. </w:t>
      </w:r>
      <w:r w:rsidRPr="00142B23">
        <w:rPr>
          <w:rFonts w:ascii="Akkurat" w:hAnsi="Akkurat" w:cs="Cavolini"/>
        </w:rPr>
        <w:t xml:space="preserve">Failure to disclose a conflict of interest may disqualify an economic operator or invalidate an award of contract, depending on when the conflict of interest comes to light. </w:t>
      </w:r>
    </w:p>
    <w:p w14:paraId="7D2C5B64" w14:textId="77777777" w:rsidR="00142B23" w:rsidRPr="0058388A" w:rsidRDefault="00142B23"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6" w:name="_Toc217713504"/>
      <w:bookmarkStart w:id="17" w:name="_Toc391403805"/>
      <w:bookmarkStart w:id="18" w:name="_Toc66368925"/>
      <w:r w:rsidRPr="0058388A">
        <w:rPr>
          <w:rFonts w:ascii="Akkurat" w:eastAsia="Times New Roman" w:hAnsi="Akkurat" w:cs="Segoe UI"/>
          <w:b/>
          <w:bCs/>
          <w:sz w:val="24"/>
          <w:szCs w:val="24"/>
          <w:lang w:eastAsia="en-IE"/>
        </w:rPr>
        <w:t>8.3</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Freedom of Information Acts</w:t>
      </w:r>
      <w:bookmarkEnd w:id="16"/>
      <w:bookmarkEnd w:id="17"/>
      <w:bookmarkEnd w:id="18"/>
    </w:p>
    <w:p w14:paraId="29BB1220" w14:textId="77777777" w:rsidR="00142B23" w:rsidRPr="00142B23" w:rsidRDefault="00142B23" w:rsidP="0028562F">
      <w:pPr>
        <w:ind w:left="851"/>
        <w:rPr>
          <w:rFonts w:ascii="Akkurat" w:hAnsi="Akkurat" w:cs="Cavolini"/>
        </w:rPr>
      </w:pPr>
      <w:r w:rsidRPr="00142B23">
        <w:rPr>
          <w:rFonts w:ascii="Akkurat" w:hAnsi="Akkurat" w:cs="Cavolini"/>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08B326C7" w14:textId="77777777" w:rsidR="00142B23" w:rsidRPr="00142B23" w:rsidRDefault="00142B23" w:rsidP="0028562F">
      <w:pPr>
        <w:ind w:left="851"/>
        <w:rPr>
          <w:rFonts w:ascii="Akkurat" w:hAnsi="Akkurat" w:cs="Cavolini"/>
        </w:rPr>
      </w:pPr>
      <w:r w:rsidRPr="00142B23">
        <w:rPr>
          <w:rFonts w:ascii="Akkurat" w:hAnsi="Akkurat" w:cs="Cavolini"/>
        </w:rPr>
        <w:t xml:space="preserve">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w:t>
      </w:r>
      <w:r w:rsidR="009F54B6">
        <w:rPr>
          <w:rFonts w:ascii="Akkurat" w:hAnsi="Akkurat" w:cs="Cavolini"/>
        </w:rPr>
        <w:t>Company</w:t>
      </w:r>
      <w:r w:rsidRPr="00142B23">
        <w:rPr>
          <w:rFonts w:ascii="Akkurat" w:hAnsi="Akkurat" w:cs="Cavolini"/>
        </w:rPr>
        <w:t xml:space="preserve"> cannot guarantee that any information provided by tenderers, either in response to this tender or in the course of any contract awarded as a result thereof, will not be released pursuant to the Contracting </w:t>
      </w:r>
      <w:r w:rsidR="009F54B6">
        <w:rPr>
          <w:rFonts w:ascii="Akkurat" w:hAnsi="Akkurat" w:cs="Cavolini"/>
        </w:rPr>
        <w:t>Company</w:t>
      </w:r>
      <w:r w:rsidRPr="00142B23">
        <w:rPr>
          <w:rFonts w:ascii="Akkurat" w:hAnsi="Akkurat" w:cs="Cavolini"/>
        </w:rPr>
        <w:t xml:space="preserve">’s obligations under law, including the Freedom of Information Act 2014, or to those under EU and Irish Government Procurement rules.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accepts no liability whatsoever in respect of any information provided which is subsequently </w:t>
      </w:r>
      <w:r w:rsidRPr="00142B23">
        <w:rPr>
          <w:rFonts w:ascii="Akkurat" w:hAnsi="Akkurat" w:cs="Cavolini"/>
        </w:rPr>
        <w:lastRenderedPageBreak/>
        <w:t>released, or in respect of any consequential damage suffered as a result of such disclosure.</w:t>
      </w:r>
    </w:p>
    <w:p w14:paraId="5BE348E7" w14:textId="77777777" w:rsidR="00142B23" w:rsidRPr="00142B23" w:rsidRDefault="00142B23" w:rsidP="0058388A">
      <w:pPr>
        <w:tabs>
          <w:tab w:val="left" w:pos="1134"/>
        </w:tabs>
        <w:spacing w:before="240" w:line="300" w:lineRule="atLeast"/>
        <w:ind w:left="851" w:hanging="851"/>
        <w:outlineLvl w:val="2"/>
        <w:rPr>
          <w:rFonts w:ascii="Akkurat" w:eastAsia="Times New Roman" w:hAnsi="Akkurat" w:cs="Segoe UI"/>
          <w:b/>
          <w:bCs/>
          <w:sz w:val="27"/>
          <w:szCs w:val="27"/>
          <w:lang w:eastAsia="en-IE"/>
        </w:rPr>
      </w:pPr>
      <w:bookmarkStart w:id="19" w:name="_Toc66368926"/>
      <w:bookmarkStart w:id="20" w:name="_Toc490418865"/>
      <w:bookmarkStart w:id="21" w:name="_Toc217713505"/>
      <w:bookmarkStart w:id="22" w:name="_Toc391403806"/>
      <w:r w:rsidRPr="0058388A">
        <w:rPr>
          <w:rFonts w:ascii="Akkurat" w:eastAsia="Times New Roman" w:hAnsi="Akkurat" w:cs="Segoe UI"/>
          <w:b/>
          <w:bCs/>
          <w:sz w:val="24"/>
          <w:szCs w:val="24"/>
          <w:lang w:eastAsia="en-IE"/>
        </w:rPr>
        <w:t>8.4</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Data Protection</w:t>
      </w:r>
      <w:bookmarkEnd w:id="19"/>
      <w:r w:rsidRPr="0058388A">
        <w:rPr>
          <w:rFonts w:ascii="Akkurat" w:eastAsia="Times New Roman" w:hAnsi="Akkurat" w:cs="Segoe UI"/>
          <w:b/>
          <w:bCs/>
          <w:sz w:val="24"/>
          <w:szCs w:val="24"/>
          <w:lang w:eastAsia="en-IE"/>
        </w:rPr>
        <w:t xml:space="preserve"> </w:t>
      </w:r>
      <w:bookmarkEnd w:id="20"/>
    </w:p>
    <w:p w14:paraId="3970B0FE" w14:textId="77777777" w:rsidR="00142B23" w:rsidRPr="00142B23" w:rsidRDefault="009F54B6" w:rsidP="0028562F">
      <w:pPr>
        <w:ind w:left="851"/>
        <w:rPr>
          <w:rFonts w:ascii="Akkurat" w:hAnsi="Akkurat" w:cs="Cavolini"/>
        </w:rPr>
      </w:pPr>
      <w:r>
        <w:rPr>
          <w:rFonts w:ascii="Akkurat" w:hAnsi="Akkurat" w:cs="Cavolini"/>
        </w:rPr>
        <w:t xml:space="preserve">Data Protection Laws </w:t>
      </w:r>
      <w:r w:rsidR="00142B23" w:rsidRPr="00142B23">
        <w:rPr>
          <w:rFonts w:ascii="Akkurat" w:hAnsi="Akkurat" w:cs="Cavolini"/>
        </w:rPr>
        <w:t xml:space="preserve">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3342C968" w14:textId="77777777" w:rsidR="00142B23" w:rsidRPr="00142B23" w:rsidRDefault="00142B23" w:rsidP="0028562F">
      <w:pPr>
        <w:ind w:left="851"/>
        <w:rPr>
          <w:rFonts w:ascii="Akkurat" w:hAnsi="Akkurat" w:cs="Cavolini"/>
        </w:rPr>
      </w:pPr>
      <w:r w:rsidRPr="00142B23">
        <w:rPr>
          <w:rFonts w:ascii="Akkurat" w:hAnsi="Akkurat" w:cs="Cavolini"/>
        </w:rPr>
        <w:t xml:space="preserve">The Contracting </w:t>
      </w:r>
      <w:r w:rsidR="009F54B6">
        <w:rPr>
          <w:rFonts w:ascii="Akkurat" w:hAnsi="Akkurat" w:cs="Cavolini"/>
        </w:rPr>
        <w:t>Company</w:t>
      </w:r>
      <w:r w:rsidRPr="00142B23">
        <w:rPr>
          <w:rFonts w:ascii="Akkurat" w:hAnsi="Akkurat" w:cs="Cavolini"/>
        </w:rPr>
        <w:t xml:space="preserve"> will be a Controller (where Controller has the meaning given under the Data Protection Laws) in respect of any Personal Data (where Personal Data has the meaning given under the Data Protection Laws) required to be provided by the Tenderer in response to this Request for Quotation.</w:t>
      </w:r>
    </w:p>
    <w:p w14:paraId="2435590C" w14:textId="77777777" w:rsidR="00142B23" w:rsidRPr="00142B23" w:rsidRDefault="00142B23" w:rsidP="0028562F">
      <w:pPr>
        <w:ind w:left="851"/>
        <w:rPr>
          <w:rFonts w:ascii="Akkurat" w:hAnsi="Akkurat" w:cs="Cavolini"/>
        </w:rPr>
      </w:pPr>
      <w:r w:rsidRPr="00142B23">
        <w:rPr>
          <w:rFonts w:ascii="Akkurat" w:hAnsi="Akkurat" w:cs="Cavolini"/>
        </w:rPr>
        <w:t xml:space="preserve">The Tenderer, as Controller in respect of any Personal Data provided by it in its Tender, is required to confirm by way of statement in the “Declarations” section of the accompanying Quotation Response Document (QRD) that all Data Subjects (where Data Subject has the meaning given under the Data Protection Laws) whose Personal Data is provided by the Tenderer have consented to the processing of such Personal Data by the Tenderer, the Contracting </w:t>
      </w:r>
      <w:r w:rsidR="009F54B6">
        <w:rPr>
          <w:rFonts w:ascii="Akkurat" w:hAnsi="Akkurat" w:cs="Cavolini"/>
        </w:rPr>
        <w:t>Company</w:t>
      </w:r>
      <w:r w:rsidRPr="00142B23">
        <w:rPr>
          <w:rFonts w:ascii="Akkurat" w:hAnsi="Akkurat" w:cs="Cavolini"/>
        </w:rPr>
        <w:t xml:space="preserve">, the Evaluation Team for the purposes of the participation of the Tenderer in this Competition or that the Tenderer otherwise has a legal basis for providing such Personal Data to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for the purposes of its participation in this Competition. </w:t>
      </w:r>
    </w:p>
    <w:p w14:paraId="2DA5F907" w14:textId="77777777"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23" w:name="_Toc66368927"/>
      <w:r w:rsidRPr="0058388A">
        <w:rPr>
          <w:rFonts w:ascii="Akkurat" w:eastAsia="Times New Roman" w:hAnsi="Akkurat" w:cs="Segoe UI"/>
          <w:b/>
          <w:bCs/>
          <w:sz w:val="24"/>
          <w:szCs w:val="24"/>
          <w:lang w:eastAsia="en-IE"/>
        </w:rPr>
        <w:t>8.5</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Tax Clearance Certificate</w:t>
      </w:r>
      <w:bookmarkEnd w:id="21"/>
      <w:bookmarkEnd w:id="22"/>
      <w:bookmarkEnd w:id="23"/>
    </w:p>
    <w:p w14:paraId="534F48F3" w14:textId="77777777" w:rsidR="00142B23" w:rsidRPr="00142B23" w:rsidRDefault="00142B23" w:rsidP="0028562F">
      <w:pPr>
        <w:ind w:left="851"/>
        <w:rPr>
          <w:rFonts w:ascii="Akkurat" w:hAnsi="Akkurat" w:cs="Cavolini"/>
        </w:rPr>
      </w:pPr>
      <w:bookmarkStart w:id="24" w:name="_Toc195681215"/>
      <w:bookmarkStart w:id="25" w:name="_Toc195673935"/>
      <w:bookmarkStart w:id="26" w:name="_Toc195672590"/>
      <w:bookmarkStart w:id="27" w:name="_Toc191097903"/>
      <w:bookmarkStart w:id="28" w:name="_Toc391403807"/>
      <w:bookmarkStart w:id="29" w:name="_Toc217713506"/>
      <w:r w:rsidRPr="00142B23">
        <w:rPr>
          <w:rFonts w:ascii="Akkurat" w:hAnsi="Akkurat" w:cs="Cavolini"/>
        </w:rPr>
        <w:t>It will be a condition of award of this contract and any subsequent contract that the successful operator(s) comply with all EU an</w:t>
      </w:r>
      <w:r w:rsidR="009F54B6">
        <w:rPr>
          <w:rFonts w:ascii="Akkurat" w:hAnsi="Akkurat" w:cs="Cavolini"/>
        </w:rPr>
        <w:t>d national tax laws.  O</w:t>
      </w:r>
      <w:r w:rsidRPr="00142B23">
        <w:rPr>
          <w:rFonts w:ascii="Akkurat" w:hAnsi="Akkurat" w:cs="Cavolini"/>
        </w:rPr>
        <w:t xml:space="preserve">perators are referred to the Irish Revenue web site </w:t>
      </w:r>
      <w:hyperlink r:id="rId12" w:history="1">
        <w:r w:rsidRPr="0028562F">
          <w:rPr>
            <w:rFonts w:ascii="Akkurat" w:hAnsi="Akkurat" w:cs="Cavolini"/>
          </w:rPr>
          <w:t>http://www.revenue.ie</w:t>
        </w:r>
      </w:hyperlink>
      <w:r w:rsidRPr="00142B23">
        <w:rPr>
          <w:rFonts w:ascii="Akkurat" w:hAnsi="Akkurat" w:cs="Cavolini"/>
        </w:rPr>
        <w:t xml:space="preserve">. Non-resident economic operators should apply to the Office of the Revenue Commissioners, Non-Resident Tax Clearance Unit, Office of the Collector General, Sarsfield House, Francis Street, Limerick, Ireland; e-mail: </w:t>
      </w:r>
      <w:hyperlink r:id="rId13" w:history="1">
        <w:r w:rsidRPr="0028562F">
          <w:rPr>
            <w:rFonts w:ascii="Akkurat" w:hAnsi="Akkurat" w:cs="Cavolini"/>
          </w:rPr>
          <w:t>nonrestaxclearance@revenue.ie</w:t>
        </w:r>
      </w:hyperlink>
      <w:r w:rsidRPr="00142B23">
        <w:rPr>
          <w:rFonts w:ascii="Akkurat" w:hAnsi="Akkurat" w:cs="Cavolini"/>
        </w:rPr>
        <w:t>.</w:t>
      </w:r>
    </w:p>
    <w:p w14:paraId="23AE7017" w14:textId="77777777" w:rsidR="00142B23" w:rsidRPr="0058388A" w:rsidRDefault="00142B23"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30" w:name="_Toc66368928"/>
      <w:r w:rsidRPr="0058388A">
        <w:rPr>
          <w:rFonts w:ascii="Akkurat" w:eastAsia="Times New Roman" w:hAnsi="Akkurat" w:cs="Segoe UI"/>
          <w:b/>
          <w:bCs/>
          <w:sz w:val="24"/>
          <w:szCs w:val="24"/>
          <w:lang w:eastAsia="en-IE"/>
        </w:rPr>
        <w:t>8.6</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Withholding Tax</w:t>
      </w:r>
      <w:bookmarkEnd w:id="24"/>
      <w:bookmarkEnd w:id="25"/>
      <w:bookmarkEnd w:id="26"/>
      <w:bookmarkEnd w:id="27"/>
      <w:bookmarkEnd w:id="28"/>
      <w:bookmarkEnd w:id="30"/>
    </w:p>
    <w:p w14:paraId="760EE5B7" w14:textId="77777777" w:rsidR="00142B23" w:rsidRDefault="00142B23" w:rsidP="0028562F">
      <w:pPr>
        <w:ind w:left="851"/>
        <w:rPr>
          <w:rFonts w:ascii="Akkurat" w:hAnsi="Akkurat" w:cs="Cavolini"/>
        </w:rPr>
      </w:pPr>
      <w:r w:rsidRPr="00142B23">
        <w:rPr>
          <w:rFonts w:ascii="Akkurat" w:hAnsi="Akkurat" w:cs="Cavolini"/>
        </w:rPr>
        <w:t>Relevant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+353-67-63400).</w:t>
      </w:r>
    </w:p>
    <w:p w14:paraId="6304456A" w14:textId="77777777" w:rsidR="00247830" w:rsidRPr="00142B23" w:rsidRDefault="00247830" w:rsidP="0028562F">
      <w:pPr>
        <w:ind w:left="851"/>
        <w:rPr>
          <w:rFonts w:ascii="Akkurat" w:hAnsi="Akkurat" w:cs="Cavolini"/>
        </w:rPr>
      </w:pPr>
    </w:p>
    <w:p w14:paraId="348F82A2" w14:textId="77777777" w:rsidR="00142B23" w:rsidRPr="0058388A" w:rsidRDefault="00142B23"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31" w:name="_Toc217713510"/>
      <w:bookmarkStart w:id="32" w:name="_Toc391403809"/>
      <w:bookmarkStart w:id="33" w:name="_Toc66368929"/>
      <w:bookmarkEnd w:id="29"/>
      <w:r w:rsidRPr="0058388A">
        <w:rPr>
          <w:rFonts w:ascii="Akkurat" w:eastAsia="Times New Roman" w:hAnsi="Akkurat" w:cs="Segoe UI"/>
          <w:b/>
          <w:bCs/>
          <w:sz w:val="24"/>
          <w:szCs w:val="24"/>
          <w:lang w:eastAsia="en-IE"/>
        </w:rPr>
        <w:lastRenderedPageBreak/>
        <w:t>8.7</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Interference and Inducement to Purchase</w:t>
      </w:r>
      <w:bookmarkEnd w:id="31"/>
      <w:bookmarkEnd w:id="32"/>
      <w:bookmarkEnd w:id="33"/>
    </w:p>
    <w:p w14:paraId="00936316" w14:textId="77777777" w:rsidR="00142B23" w:rsidRPr="00142B23" w:rsidRDefault="00142B23" w:rsidP="0028562F">
      <w:pPr>
        <w:ind w:left="851"/>
        <w:rPr>
          <w:rFonts w:ascii="Akkurat" w:hAnsi="Akkurat" w:cs="Cavolini"/>
        </w:rPr>
      </w:pPr>
      <w:r w:rsidRPr="00142B23">
        <w:rPr>
          <w:rFonts w:ascii="Akkurat" w:hAnsi="Akkurat" w:cs="Cavolini"/>
        </w:rPr>
        <w:t xml:space="preserve">Any effort by the operator to unduly influence the Contracting </w:t>
      </w:r>
      <w:r w:rsidR="008212D0">
        <w:rPr>
          <w:rFonts w:ascii="Akkurat" w:hAnsi="Akkurat" w:cs="Cavolini"/>
        </w:rPr>
        <w:t>Company</w:t>
      </w:r>
      <w:r w:rsidRPr="00142B23">
        <w:rPr>
          <w:rFonts w:ascii="Akkurat" w:hAnsi="Akkurat" w:cs="Cavolini"/>
        </w:rPr>
        <w:t>, relevant agency personnel or any other relevant persons or bodies in the process of examination, clarification, evaluation and comparison of quotations and in decisions concerning the Award of Contract shall have their quotation rejected. The presumptions (including as to any gift, consideration or advantage) and other provisions under the Criminal Justice Act 2018, and all other measures for the time being governing the subject-matter in any applicable jurisdiction, shall be applicable.</w:t>
      </w:r>
    </w:p>
    <w:p w14:paraId="314CFB7D" w14:textId="77777777" w:rsidR="006228B9" w:rsidRPr="006228B9" w:rsidRDefault="006228B9" w:rsidP="006228B9">
      <w:pPr>
        <w:rPr>
          <w:rFonts w:ascii="Akkurat" w:eastAsia="Times New Roman" w:hAnsi="Akkurat" w:cs="Segoe UI"/>
          <w:b/>
          <w:bCs/>
          <w:sz w:val="4"/>
          <w:szCs w:val="27"/>
          <w:lang w:eastAsia="en-IE"/>
        </w:rPr>
      </w:pPr>
      <w:bookmarkStart w:id="34" w:name="_Toc217713511"/>
      <w:bookmarkStart w:id="35" w:name="_Toc391403810"/>
      <w:bookmarkStart w:id="36" w:name="_Toc66368930"/>
    </w:p>
    <w:p w14:paraId="7158C299" w14:textId="77777777" w:rsidR="00142B23" w:rsidRPr="0058388A" w:rsidRDefault="00142B23"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8.8</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Notification of Evaluations</w:t>
      </w:r>
      <w:bookmarkEnd w:id="34"/>
      <w:bookmarkEnd w:id="35"/>
      <w:bookmarkEnd w:id="36"/>
    </w:p>
    <w:p w14:paraId="752E6B44" w14:textId="77777777" w:rsidR="00142B23" w:rsidRPr="00142B23" w:rsidRDefault="00142B23" w:rsidP="0028562F">
      <w:pPr>
        <w:ind w:left="851"/>
        <w:rPr>
          <w:rFonts w:ascii="Akkurat" w:hAnsi="Akkurat" w:cs="Cavolini"/>
        </w:rPr>
      </w:pPr>
      <w:r w:rsidRPr="00142B23">
        <w:rPr>
          <w:rFonts w:ascii="Akkurat" w:hAnsi="Akkurat" w:cs="Cavolini"/>
        </w:rPr>
        <w:t>All parties will be informed of the outcome of their proposals following evaluation and any necessary clarificati</w:t>
      </w:r>
      <w:bookmarkStart w:id="37" w:name="_Toc217713513"/>
      <w:r w:rsidRPr="00142B23">
        <w:rPr>
          <w:rFonts w:ascii="Akkurat" w:hAnsi="Akkurat" w:cs="Cavolini"/>
        </w:rPr>
        <w:t>ons.</w:t>
      </w:r>
    </w:p>
    <w:p w14:paraId="10D605B8" w14:textId="77777777" w:rsidR="006228B9" w:rsidRPr="006228B9" w:rsidRDefault="006228B9" w:rsidP="006228B9">
      <w:pPr>
        <w:rPr>
          <w:rFonts w:ascii="Akkurat" w:eastAsia="Times New Roman" w:hAnsi="Akkurat" w:cs="Segoe UI"/>
          <w:b/>
          <w:bCs/>
          <w:sz w:val="4"/>
          <w:szCs w:val="27"/>
          <w:lang w:eastAsia="en-IE"/>
        </w:rPr>
      </w:pPr>
      <w:bookmarkStart w:id="38" w:name="_Toc195681229"/>
      <w:bookmarkStart w:id="39" w:name="_Toc195673949"/>
      <w:bookmarkStart w:id="40" w:name="_Toc195672605"/>
      <w:bookmarkStart w:id="41" w:name="_Toc391403813"/>
      <w:bookmarkStart w:id="42" w:name="_Toc66368931"/>
      <w:bookmarkEnd w:id="37"/>
    </w:p>
    <w:p w14:paraId="7DA61A9D" w14:textId="77777777"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8.9</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Replacement Personnel</w:t>
      </w:r>
      <w:bookmarkEnd w:id="38"/>
      <w:bookmarkEnd w:id="39"/>
      <w:bookmarkEnd w:id="40"/>
      <w:bookmarkEnd w:id="41"/>
      <w:bookmarkEnd w:id="42"/>
    </w:p>
    <w:p w14:paraId="6857F0C5" w14:textId="77777777" w:rsidR="00142B23" w:rsidRPr="00142B23" w:rsidRDefault="00142B23" w:rsidP="0028562F">
      <w:pPr>
        <w:ind w:left="851"/>
        <w:rPr>
          <w:rFonts w:ascii="Akkurat" w:hAnsi="Akkurat" w:cs="Cavolini"/>
        </w:rPr>
      </w:pPr>
      <w:r w:rsidRPr="00142B23">
        <w:rPr>
          <w:rFonts w:ascii="Akkurat" w:hAnsi="Akkurat" w:cs="Cavolini"/>
        </w:rPr>
        <w:t xml:space="preserve">Notification must be sent in writing (by post or electronic means) as soon as possible to the Contracting </w:t>
      </w:r>
      <w:r w:rsidR="008212D0">
        <w:rPr>
          <w:rFonts w:ascii="Akkurat" w:hAnsi="Akkurat" w:cs="Cavolini"/>
        </w:rPr>
        <w:t>Company</w:t>
      </w:r>
      <w:r w:rsidRPr="00142B23">
        <w:rPr>
          <w:rFonts w:ascii="Akkurat" w:hAnsi="Akkurat" w:cs="Cavolini"/>
        </w:rPr>
        <w:t xml:space="preserve"> on any proposed change of nominated personnel, such change to be subject to the written approval of the Contracting </w:t>
      </w:r>
      <w:r w:rsidR="008212D0">
        <w:rPr>
          <w:rFonts w:ascii="Akkurat" w:hAnsi="Akkurat" w:cs="Cavolini"/>
        </w:rPr>
        <w:t>Company.</w:t>
      </w:r>
      <w:r w:rsidRPr="00142B23">
        <w:rPr>
          <w:rFonts w:ascii="Akkurat" w:hAnsi="Akkurat" w:cs="Cavolini"/>
        </w:rPr>
        <w:t xml:space="preserve"> Replacement personnel must be of equal or better standing that the existing personnel in terms of qualifications and experience. </w:t>
      </w:r>
    </w:p>
    <w:p w14:paraId="10BC9999" w14:textId="77777777" w:rsidR="006228B9" w:rsidRPr="006228B9" w:rsidRDefault="006228B9" w:rsidP="006228B9">
      <w:pPr>
        <w:rPr>
          <w:rFonts w:ascii="Akkurat" w:eastAsia="Times New Roman" w:hAnsi="Akkurat" w:cs="Segoe UI"/>
          <w:b/>
          <w:bCs/>
          <w:sz w:val="4"/>
          <w:szCs w:val="27"/>
          <w:lang w:eastAsia="en-IE"/>
        </w:rPr>
      </w:pPr>
      <w:bookmarkStart w:id="43" w:name="_Toc195681230"/>
      <w:bookmarkStart w:id="44" w:name="_Toc195673950"/>
      <w:bookmarkStart w:id="45" w:name="_Toc195672606"/>
      <w:bookmarkStart w:id="46" w:name="_Toc391403814"/>
      <w:bookmarkStart w:id="47" w:name="_Toc66368932"/>
    </w:p>
    <w:p w14:paraId="2E5D48DE" w14:textId="77777777"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8.10</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Copyright</w:t>
      </w:r>
      <w:bookmarkEnd w:id="43"/>
      <w:bookmarkEnd w:id="44"/>
      <w:bookmarkEnd w:id="45"/>
      <w:bookmarkEnd w:id="46"/>
      <w:bookmarkEnd w:id="47"/>
    </w:p>
    <w:p w14:paraId="4BC12EA9" w14:textId="77777777" w:rsidR="00142B23" w:rsidRPr="00142B23" w:rsidRDefault="00142B23" w:rsidP="0028562F">
      <w:pPr>
        <w:ind w:left="851"/>
        <w:rPr>
          <w:rFonts w:ascii="Akkurat" w:hAnsi="Akkurat" w:cs="Cavolini"/>
        </w:rPr>
      </w:pPr>
      <w:r w:rsidRPr="00142B23">
        <w:rPr>
          <w:rFonts w:ascii="Akkurat" w:hAnsi="Akkurat" w:cs="Cavolini"/>
        </w:rPr>
        <w:t xml:space="preserve">The Contracting </w:t>
      </w:r>
      <w:r w:rsidR="008212D0">
        <w:rPr>
          <w:rFonts w:ascii="Akkurat" w:hAnsi="Akkurat" w:cs="Cavolini"/>
        </w:rPr>
        <w:t>Company</w:t>
      </w:r>
      <w:r w:rsidR="008212D0" w:rsidRPr="00142B23">
        <w:rPr>
          <w:rFonts w:ascii="Akkurat" w:hAnsi="Akkurat" w:cs="Cavolini"/>
        </w:rPr>
        <w:t xml:space="preserve"> </w:t>
      </w:r>
      <w:r w:rsidRPr="00142B23">
        <w:rPr>
          <w:rFonts w:ascii="Akkurat" w:hAnsi="Akkurat" w:cs="Cavolini"/>
        </w:rPr>
        <w:t xml:space="preserve">will have copyright ownership of any material developed for use by the Contracting </w:t>
      </w:r>
      <w:r w:rsidR="008212D0">
        <w:rPr>
          <w:rFonts w:ascii="Akkurat" w:hAnsi="Akkurat" w:cs="Cavolini"/>
        </w:rPr>
        <w:t>Company</w:t>
      </w:r>
      <w:r w:rsidR="008212D0" w:rsidRPr="00142B23">
        <w:rPr>
          <w:rFonts w:ascii="Akkurat" w:hAnsi="Akkurat" w:cs="Cavolini"/>
        </w:rPr>
        <w:t xml:space="preserve"> </w:t>
      </w:r>
      <w:r w:rsidRPr="00142B23">
        <w:rPr>
          <w:rFonts w:ascii="Akkurat" w:hAnsi="Akkurat" w:cs="Cavolini"/>
        </w:rPr>
        <w:t xml:space="preserve">under the terms of this quotation. The successful tenderer may have a non-exclusive licence to use such material but only for its own purposes (subject to agreement). </w:t>
      </w:r>
    </w:p>
    <w:p w14:paraId="4D27E435" w14:textId="77777777" w:rsidR="004D4066" w:rsidRPr="006228B9" w:rsidRDefault="004D4066" w:rsidP="004D4066">
      <w:pPr>
        <w:rPr>
          <w:rFonts w:ascii="Akkurat" w:eastAsia="Times New Roman" w:hAnsi="Akkurat" w:cs="Segoe UI"/>
          <w:b/>
          <w:bCs/>
          <w:sz w:val="4"/>
          <w:szCs w:val="27"/>
          <w:lang w:eastAsia="en-IE"/>
        </w:rPr>
      </w:pPr>
      <w:bookmarkStart w:id="48" w:name="_Toc66368933"/>
    </w:p>
    <w:p w14:paraId="0E6AA4CA" w14:textId="77777777"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8.11</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Responsibility of Successful Party</w:t>
      </w:r>
      <w:bookmarkEnd w:id="48"/>
    </w:p>
    <w:p w14:paraId="2C40A390" w14:textId="77777777" w:rsidR="00F54711" w:rsidRPr="00142B23" w:rsidRDefault="00142B23" w:rsidP="0028562F">
      <w:pPr>
        <w:ind w:left="851"/>
        <w:rPr>
          <w:rFonts w:ascii="Akkurat" w:hAnsi="Akkurat" w:cs="Cavolini"/>
        </w:rPr>
      </w:pPr>
      <w:r w:rsidRPr="00142B23">
        <w:rPr>
          <w:rFonts w:ascii="Akkurat" w:hAnsi="Akkurat" w:cs="Cavolini"/>
        </w:rPr>
        <w:t>As a condition of award, it shall be the sole responsibility of the tenderer (in the event of success in this competition) to fulfil the obligations under the Contract, notwithstanding any changes in circulars, laws, regulations, taxation, duties or other factors which might arise following the withdrawal of the United Kingdom from membership of the EU.</w:t>
      </w:r>
    </w:p>
    <w:sectPr w:rsidR="00F54711" w:rsidRPr="00142B23" w:rsidSect="00F209A4">
      <w:headerReference w:type="default" r:id="rId14"/>
      <w:footerReference w:type="default" r:id="rId15"/>
      <w:pgSz w:w="11906" w:h="16838"/>
      <w:pgMar w:top="2977" w:right="1133" w:bottom="1134" w:left="993"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EDEB" w14:textId="77777777" w:rsidR="00630E17" w:rsidRDefault="00630E17" w:rsidP="00047571">
      <w:pPr>
        <w:spacing w:after="0" w:line="240" w:lineRule="auto"/>
      </w:pPr>
      <w:r>
        <w:separator/>
      </w:r>
    </w:p>
  </w:endnote>
  <w:endnote w:type="continuationSeparator" w:id="0">
    <w:p w14:paraId="2B2552CB" w14:textId="77777777" w:rsidR="00630E17" w:rsidRDefault="00630E17" w:rsidP="0004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volini">
    <w:altName w:val="Times New Roman"/>
    <w:charset w:val="00"/>
    <w:family w:val="script"/>
    <w:pitch w:val="variable"/>
    <w:sig w:usb0="00000001" w:usb1="8000000A" w:usb2="00010000" w:usb3="00000000" w:csb0="0000019F" w:csb1="00000000"/>
  </w:font>
  <w:font w:name="Segoe UI">
    <w:panose1 w:val="020B0502040204020203"/>
    <w:charset w:val="00"/>
    <w:family w:val="swiss"/>
    <w:pitch w:val="variable"/>
    <w:sig w:usb0="E4002EFF" w:usb1="C000E47F" w:usb2="00000009" w:usb3="00000000" w:csb0="000001FF" w:csb1="00000000"/>
  </w:font>
  <w:font w:name="Akkurat">
    <w:altName w:val="Corbel"/>
    <w:panose1 w:val="02000503030000020004"/>
    <w:charset w:val="00"/>
    <w:family w:val="modern"/>
    <w:notTrueType/>
    <w:pitch w:val="variable"/>
    <w:sig w:usb0="800000AF" w:usb1="5000216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529F" w14:textId="77777777" w:rsidR="0005065D" w:rsidRDefault="0005065D">
    <w:pPr>
      <w:pStyle w:val="Footer"/>
      <w:rPr>
        <w:rFonts w:ascii="Akkurat" w:eastAsiaTheme="majorEastAsia" w:hAnsi="Akkurat" w:cstheme="majorBidi"/>
        <w:color w:val="808080" w:themeColor="background1" w:themeShade="80"/>
        <w:sz w:val="16"/>
        <w:szCs w:val="16"/>
      </w:rPr>
    </w:pPr>
  </w:p>
  <w:p w14:paraId="5EAFA66E" w14:textId="77777777" w:rsidR="0005065D" w:rsidRDefault="006D0586">
    <w:pPr>
      <w:pStyle w:val="Footer"/>
    </w:pPr>
    <w:r w:rsidRPr="00047571">
      <w:rPr>
        <w:rFonts w:ascii="Akkurat" w:eastAsiaTheme="majorEastAsia" w:hAnsi="Akkurat" w:cstheme="majorBidi"/>
        <w:color w:val="808080" w:themeColor="background1" w:themeShade="80"/>
        <w:sz w:val="16"/>
        <w:szCs w:val="16"/>
      </w:rPr>
      <w:t xml:space="preserve">pg. </w:t>
    </w:r>
    <w:r w:rsidRPr="00047571">
      <w:rPr>
        <w:rFonts w:ascii="Akkurat" w:eastAsiaTheme="minorEastAsia" w:hAnsi="Akkurat"/>
        <w:color w:val="808080" w:themeColor="background1" w:themeShade="80"/>
        <w:sz w:val="16"/>
        <w:szCs w:val="16"/>
      </w:rPr>
      <w:fldChar w:fldCharType="begin"/>
    </w:r>
    <w:r w:rsidRPr="00047571">
      <w:rPr>
        <w:rFonts w:ascii="Akkurat" w:hAnsi="Akkurat"/>
        <w:color w:val="808080" w:themeColor="background1" w:themeShade="80"/>
        <w:sz w:val="16"/>
        <w:szCs w:val="16"/>
      </w:rPr>
      <w:instrText xml:space="preserve"> PAGE    \* MERGEFORMAT </w:instrText>
    </w:r>
    <w:r w:rsidRPr="00047571">
      <w:rPr>
        <w:rFonts w:ascii="Akkurat" w:eastAsiaTheme="minorEastAsia" w:hAnsi="Akkurat"/>
        <w:color w:val="808080" w:themeColor="background1" w:themeShade="80"/>
        <w:sz w:val="16"/>
        <w:szCs w:val="16"/>
      </w:rPr>
      <w:fldChar w:fldCharType="separate"/>
    </w:r>
    <w:r w:rsidR="002D1AE8" w:rsidRPr="002D1AE8">
      <w:rPr>
        <w:rFonts w:ascii="Akkurat" w:eastAsiaTheme="majorEastAsia" w:hAnsi="Akkurat" w:cstheme="majorBidi"/>
        <w:noProof/>
        <w:color w:val="808080" w:themeColor="background1" w:themeShade="80"/>
        <w:sz w:val="16"/>
        <w:szCs w:val="16"/>
      </w:rPr>
      <w:t>12</w:t>
    </w:r>
    <w:r w:rsidRPr="00047571">
      <w:rPr>
        <w:rFonts w:ascii="Akkurat" w:eastAsiaTheme="majorEastAsia" w:hAnsi="Akkurat" w:cstheme="majorBidi"/>
        <w:noProof/>
        <w:color w:val="808080" w:themeColor="background1" w:themeShade="80"/>
        <w:sz w:val="16"/>
        <w:szCs w:val="16"/>
      </w:rPr>
      <w:fldChar w:fldCharType="end"/>
    </w:r>
    <w:r>
      <w:rPr>
        <w:rFonts w:ascii="Akkurat" w:eastAsiaTheme="majorEastAsia" w:hAnsi="Akkurat" w:cstheme="majorBidi"/>
        <w:noProof/>
        <w:color w:val="808080" w:themeColor="background1" w:themeShade="80"/>
        <w:sz w:val="16"/>
        <w:szCs w:val="16"/>
      </w:rPr>
      <w:t xml:space="preserve"> Request for Quotation  Meath Arts Centre Dac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1FAF" w14:textId="77777777" w:rsidR="00630E17" w:rsidRDefault="00630E17" w:rsidP="00047571">
      <w:pPr>
        <w:spacing w:after="0" w:line="240" w:lineRule="auto"/>
      </w:pPr>
      <w:r>
        <w:separator/>
      </w:r>
    </w:p>
  </w:footnote>
  <w:footnote w:type="continuationSeparator" w:id="0">
    <w:p w14:paraId="21C6A68B" w14:textId="77777777" w:rsidR="00630E17" w:rsidRDefault="00630E17" w:rsidP="0004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17E7" w14:textId="77777777" w:rsidR="00C6282F" w:rsidRDefault="00C6282F" w:rsidP="00C6282F">
    <w:pPr>
      <w:spacing w:after="0" w:line="276" w:lineRule="auto"/>
      <w:outlineLvl w:val="1"/>
      <w:rPr>
        <w:rFonts w:ascii="Akkurat" w:eastAsia="Times New Roman" w:hAnsi="Akkurat" w:cs="Segoe UI"/>
        <w:b/>
        <w:bCs/>
        <w:sz w:val="36"/>
        <w:szCs w:val="36"/>
        <w:lang w:eastAsia="en-IE"/>
      </w:rPr>
    </w:pPr>
    <w:r w:rsidRPr="00C6282F">
      <w:rPr>
        <w:noProof/>
        <w:lang w:eastAsia="en-IE"/>
      </w:rPr>
      <w:drawing>
        <wp:anchor distT="0" distB="0" distL="114300" distR="114300" simplePos="0" relativeHeight="251659264" behindDoc="0" locked="0" layoutInCell="1" allowOverlap="1" wp14:anchorId="77A7930F" wp14:editId="72C1A959">
          <wp:simplePos x="0" y="0"/>
          <wp:positionH relativeFrom="column">
            <wp:posOffset>4978400</wp:posOffset>
          </wp:positionH>
          <wp:positionV relativeFrom="paragraph">
            <wp:posOffset>-52236</wp:posOffset>
          </wp:positionV>
          <wp:extent cx="1313713" cy="466725"/>
          <wp:effectExtent l="0" t="0" r="0" b="0"/>
          <wp:wrapNone/>
          <wp:docPr id="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duotone>
                      <a:prstClr val="black"/>
                      <a:schemeClr val="tx2">
                        <a:lumMod val="50000"/>
                        <a:tint val="45000"/>
                        <a:satMod val="400000"/>
                      </a:schemeClr>
                    </a:duotone>
                    <a:extLst>
                      <a:ext uri="{28A0092B-C50C-407E-A947-70E740481C1C}">
                        <a14:useLocalDpi xmlns:a14="http://schemas.microsoft.com/office/drawing/2010/main" val="0"/>
                      </a:ext>
                    </a:extLst>
                  </a:blip>
                  <a:stretch>
                    <a:fillRect/>
                  </a:stretch>
                </pic:blipFill>
                <pic:spPr>
                  <a:xfrm>
                    <a:off x="0" y="0"/>
                    <a:ext cx="1313713" cy="466725"/>
                  </a:xfrm>
                  <a:prstGeom prst="rect">
                    <a:avLst/>
                  </a:prstGeom>
                </pic:spPr>
              </pic:pic>
            </a:graphicData>
          </a:graphic>
          <wp14:sizeRelH relativeFrom="margin">
            <wp14:pctWidth>0</wp14:pctWidth>
          </wp14:sizeRelH>
          <wp14:sizeRelV relativeFrom="margin">
            <wp14:pctHeight>0</wp14:pctHeight>
          </wp14:sizeRelV>
        </wp:anchor>
      </w:drawing>
    </w:r>
    <w:r w:rsidRPr="00C6282F">
      <w:rPr>
        <w:noProof/>
        <w:lang w:eastAsia="en-IE"/>
      </w:rPr>
      <w:drawing>
        <wp:anchor distT="0" distB="0" distL="114300" distR="114300" simplePos="0" relativeHeight="251660288" behindDoc="0" locked="0" layoutInCell="1" allowOverlap="1" wp14:anchorId="036C7502" wp14:editId="72D185EC">
          <wp:simplePos x="0" y="0"/>
          <wp:positionH relativeFrom="column">
            <wp:posOffset>0</wp:posOffset>
          </wp:positionH>
          <wp:positionV relativeFrom="paragraph">
            <wp:posOffset>-52484</wp:posOffset>
          </wp:positionV>
          <wp:extent cx="774700" cy="566420"/>
          <wp:effectExtent l="0" t="0" r="6350" b="5080"/>
          <wp:wrapNone/>
          <wp:docPr id="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700" cy="566420"/>
                  </a:xfrm>
                  <a:prstGeom prst="rect">
                    <a:avLst/>
                  </a:prstGeom>
                </pic:spPr>
              </pic:pic>
            </a:graphicData>
          </a:graphic>
          <wp14:sizeRelH relativeFrom="margin">
            <wp14:pctWidth>0</wp14:pctWidth>
          </wp14:sizeRelH>
          <wp14:sizeRelV relativeFrom="margin">
            <wp14:pctHeight>0</wp14:pctHeight>
          </wp14:sizeRelV>
        </wp:anchor>
      </w:drawing>
    </w:r>
  </w:p>
  <w:p w14:paraId="367CE6C4" w14:textId="77777777" w:rsidR="00C6282F" w:rsidRDefault="00C6282F" w:rsidP="00540DD3">
    <w:pPr>
      <w:spacing w:line="276" w:lineRule="auto"/>
      <w:outlineLvl w:val="1"/>
      <w:rPr>
        <w:rFonts w:ascii="Akkurat" w:eastAsia="Times New Roman" w:hAnsi="Akkurat" w:cs="Segoe UI"/>
        <w:b/>
        <w:bCs/>
        <w:sz w:val="32"/>
        <w:szCs w:val="36"/>
        <w:lang w:eastAsia="en-IE"/>
      </w:rPr>
    </w:pPr>
  </w:p>
  <w:p w14:paraId="70ADAB9E" w14:textId="77777777" w:rsidR="00C6282F" w:rsidRPr="00C6282F" w:rsidRDefault="00C6282F" w:rsidP="00C6282F">
    <w:pPr>
      <w:spacing w:after="0" w:line="276" w:lineRule="auto"/>
      <w:outlineLvl w:val="1"/>
      <w:rPr>
        <w:rFonts w:ascii="Akkurat" w:eastAsia="Times New Roman" w:hAnsi="Akkurat" w:cs="Segoe UI"/>
        <w:b/>
        <w:bCs/>
        <w:sz w:val="32"/>
        <w:szCs w:val="36"/>
        <w:lang w:eastAsia="en-IE"/>
      </w:rPr>
    </w:pPr>
    <w:r w:rsidRPr="00C6282F">
      <w:rPr>
        <w:rFonts w:ascii="Akkurat" w:eastAsia="Times New Roman" w:hAnsi="Akkurat" w:cs="Segoe UI"/>
        <w:b/>
        <w:bCs/>
        <w:sz w:val="32"/>
        <w:szCs w:val="36"/>
        <w:lang w:eastAsia="en-IE"/>
      </w:rPr>
      <w:t>Tender: Development of a New Strategy 2027–2031</w:t>
    </w:r>
  </w:p>
  <w:p w14:paraId="519DB200" w14:textId="77777777" w:rsidR="00C6282F" w:rsidRPr="00C6282F" w:rsidRDefault="00C6282F" w:rsidP="00C6282F">
    <w:pPr>
      <w:spacing w:after="0" w:line="240" w:lineRule="auto"/>
      <w:outlineLvl w:val="1"/>
      <w:rPr>
        <w:rFonts w:ascii="Akkurat" w:eastAsia="Times New Roman" w:hAnsi="Akkurat" w:cs="Segoe UI"/>
        <w:b/>
        <w:bCs/>
        <w:sz w:val="24"/>
        <w:szCs w:val="28"/>
        <w:lang w:eastAsia="en-IE"/>
      </w:rPr>
    </w:pPr>
    <w:r w:rsidRPr="00C6282F">
      <w:rPr>
        <w:rFonts w:ascii="Akkurat" w:eastAsia="Times New Roman" w:hAnsi="Akkurat" w:cs="Segoe UI"/>
        <w:b/>
        <w:bCs/>
        <w:sz w:val="24"/>
        <w:szCs w:val="28"/>
        <w:lang w:eastAsia="en-IE"/>
      </w:rPr>
      <w:t xml:space="preserve">Solstice Arts Centre &amp; Swift Cultural Centre </w:t>
    </w:r>
  </w:p>
  <w:p w14:paraId="29C28F88" w14:textId="77777777" w:rsidR="00C6282F" w:rsidRDefault="00C62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110C"/>
    <w:multiLevelType w:val="multilevel"/>
    <w:tmpl w:val="6732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3692"/>
    <w:multiLevelType w:val="multilevel"/>
    <w:tmpl w:val="8F3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F78D0"/>
    <w:multiLevelType w:val="multilevel"/>
    <w:tmpl w:val="35602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A711B35"/>
    <w:multiLevelType w:val="hybridMultilevel"/>
    <w:tmpl w:val="CD663B3E"/>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20D418B2"/>
    <w:multiLevelType w:val="multilevel"/>
    <w:tmpl w:val="31001D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C0E43FF"/>
    <w:multiLevelType w:val="hybridMultilevel"/>
    <w:tmpl w:val="9B268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415F83"/>
    <w:multiLevelType w:val="multilevel"/>
    <w:tmpl w:val="D15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346663E6"/>
    <w:multiLevelType w:val="multilevel"/>
    <w:tmpl w:val="97D0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01E0D7A"/>
    <w:multiLevelType w:val="multilevel"/>
    <w:tmpl w:val="6666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66A28"/>
    <w:multiLevelType w:val="multilevel"/>
    <w:tmpl w:val="C0BA51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68520BB"/>
    <w:multiLevelType w:val="multilevel"/>
    <w:tmpl w:val="C07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663F4"/>
    <w:multiLevelType w:val="hybridMultilevel"/>
    <w:tmpl w:val="8E18A1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A167B1D"/>
    <w:multiLevelType w:val="multilevel"/>
    <w:tmpl w:val="C4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E36D0"/>
    <w:multiLevelType w:val="multilevel"/>
    <w:tmpl w:val="152E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24899"/>
    <w:multiLevelType w:val="multilevel"/>
    <w:tmpl w:val="B98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B5DC5"/>
    <w:multiLevelType w:val="multilevel"/>
    <w:tmpl w:val="3E6C073E"/>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o"/>
      <w:lvlJc w:val="left"/>
      <w:pPr>
        <w:tabs>
          <w:tab w:val="num" w:pos="1734"/>
        </w:tabs>
        <w:ind w:left="1734" w:hanging="360"/>
      </w:pPr>
      <w:rPr>
        <w:rFonts w:ascii="Courier New" w:hAnsi="Courier New" w:hint="default"/>
        <w:sz w:val="20"/>
      </w:rPr>
    </w:lvl>
    <w:lvl w:ilvl="2" w:tentative="1">
      <w:start w:val="1"/>
      <w:numFmt w:val="bullet"/>
      <w:lvlText w:val=""/>
      <w:lvlJc w:val="left"/>
      <w:pPr>
        <w:tabs>
          <w:tab w:val="num" w:pos="2454"/>
        </w:tabs>
        <w:ind w:left="2454" w:hanging="360"/>
      </w:pPr>
      <w:rPr>
        <w:rFonts w:ascii="Wingdings" w:hAnsi="Wingdings" w:hint="default"/>
        <w:sz w:val="20"/>
      </w:rPr>
    </w:lvl>
    <w:lvl w:ilvl="3" w:tentative="1">
      <w:start w:val="1"/>
      <w:numFmt w:val="bullet"/>
      <w:lvlText w:val=""/>
      <w:lvlJc w:val="left"/>
      <w:pPr>
        <w:tabs>
          <w:tab w:val="num" w:pos="3174"/>
        </w:tabs>
        <w:ind w:left="3174" w:hanging="360"/>
      </w:pPr>
      <w:rPr>
        <w:rFonts w:ascii="Wingdings" w:hAnsi="Wingdings" w:hint="default"/>
        <w:sz w:val="20"/>
      </w:rPr>
    </w:lvl>
    <w:lvl w:ilvl="4" w:tentative="1">
      <w:start w:val="1"/>
      <w:numFmt w:val="bullet"/>
      <w:lvlText w:val=""/>
      <w:lvlJc w:val="left"/>
      <w:pPr>
        <w:tabs>
          <w:tab w:val="num" w:pos="3894"/>
        </w:tabs>
        <w:ind w:left="3894" w:hanging="360"/>
      </w:pPr>
      <w:rPr>
        <w:rFonts w:ascii="Wingdings" w:hAnsi="Wingdings" w:hint="default"/>
        <w:sz w:val="20"/>
      </w:rPr>
    </w:lvl>
    <w:lvl w:ilvl="5" w:tentative="1">
      <w:start w:val="1"/>
      <w:numFmt w:val="bullet"/>
      <w:lvlText w:val=""/>
      <w:lvlJc w:val="left"/>
      <w:pPr>
        <w:tabs>
          <w:tab w:val="num" w:pos="4614"/>
        </w:tabs>
        <w:ind w:left="4614" w:hanging="360"/>
      </w:pPr>
      <w:rPr>
        <w:rFonts w:ascii="Wingdings" w:hAnsi="Wingdings" w:hint="default"/>
        <w:sz w:val="20"/>
      </w:rPr>
    </w:lvl>
    <w:lvl w:ilvl="6" w:tentative="1">
      <w:start w:val="1"/>
      <w:numFmt w:val="bullet"/>
      <w:lvlText w:val=""/>
      <w:lvlJc w:val="left"/>
      <w:pPr>
        <w:tabs>
          <w:tab w:val="num" w:pos="5334"/>
        </w:tabs>
        <w:ind w:left="5334" w:hanging="360"/>
      </w:pPr>
      <w:rPr>
        <w:rFonts w:ascii="Wingdings" w:hAnsi="Wingdings" w:hint="default"/>
        <w:sz w:val="20"/>
      </w:rPr>
    </w:lvl>
    <w:lvl w:ilvl="7" w:tentative="1">
      <w:start w:val="1"/>
      <w:numFmt w:val="bullet"/>
      <w:lvlText w:val=""/>
      <w:lvlJc w:val="left"/>
      <w:pPr>
        <w:tabs>
          <w:tab w:val="num" w:pos="6054"/>
        </w:tabs>
        <w:ind w:left="6054" w:hanging="360"/>
      </w:pPr>
      <w:rPr>
        <w:rFonts w:ascii="Wingdings" w:hAnsi="Wingdings" w:hint="default"/>
        <w:sz w:val="20"/>
      </w:rPr>
    </w:lvl>
    <w:lvl w:ilvl="8" w:tentative="1">
      <w:start w:val="1"/>
      <w:numFmt w:val="bullet"/>
      <w:lvlText w:val=""/>
      <w:lvlJc w:val="left"/>
      <w:pPr>
        <w:tabs>
          <w:tab w:val="num" w:pos="6774"/>
        </w:tabs>
        <w:ind w:left="6774" w:hanging="360"/>
      </w:pPr>
      <w:rPr>
        <w:rFonts w:ascii="Wingdings" w:hAnsi="Wingdings" w:hint="default"/>
        <w:sz w:val="20"/>
      </w:rPr>
    </w:lvl>
  </w:abstractNum>
  <w:abstractNum w:abstractNumId="18" w15:restartNumberingAfterBreak="0">
    <w:nsid w:val="577F6EF3"/>
    <w:multiLevelType w:val="multilevel"/>
    <w:tmpl w:val="745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B7A5F"/>
    <w:multiLevelType w:val="multilevel"/>
    <w:tmpl w:val="A74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429DB"/>
    <w:multiLevelType w:val="multilevel"/>
    <w:tmpl w:val="D8D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F098F"/>
    <w:multiLevelType w:val="multilevel"/>
    <w:tmpl w:val="AF30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B1AFB"/>
    <w:multiLevelType w:val="multilevel"/>
    <w:tmpl w:val="AD5AD3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D603DDC"/>
    <w:multiLevelType w:val="hybridMultilevel"/>
    <w:tmpl w:val="A95EEB3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70525C5C"/>
    <w:multiLevelType w:val="hybridMultilevel"/>
    <w:tmpl w:val="322C26D8"/>
    <w:lvl w:ilvl="0" w:tplc="891C9026">
      <w:start w:val="1"/>
      <w:numFmt w:val="decimal"/>
      <w:lvlText w:val="%1."/>
      <w:lvlJc w:val="left"/>
      <w:pPr>
        <w:ind w:left="720" w:hanging="360"/>
      </w:pPr>
      <w:rPr>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D6D154D"/>
    <w:multiLevelType w:val="multilevel"/>
    <w:tmpl w:val="EBF26C28"/>
    <w:lvl w:ilvl="0">
      <w:start w:val="1"/>
      <w:numFmt w:val="decimal"/>
      <w:lvlText w:val="%1."/>
      <w:lvlJc w:val="left"/>
      <w:pPr>
        <w:ind w:left="1282" w:hanging="1140"/>
      </w:pPr>
      <w:rPr>
        <w:rFonts w:eastAsia="Calibri" w:cs="Cavolini" w:hint="default"/>
        <w:sz w:val="28"/>
        <w:szCs w:val="28"/>
        <w:u w:val="none"/>
      </w:rPr>
    </w:lvl>
    <w:lvl w:ilvl="1">
      <w:start w:val="1"/>
      <w:numFmt w:val="decimal"/>
      <w:lvlText w:val="%1.%2."/>
      <w:lvlJc w:val="left"/>
      <w:pPr>
        <w:ind w:left="1140" w:hanging="1140"/>
      </w:pPr>
      <w:rPr>
        <w:rFonts w:eastAsia="Calibri" w:cs="Cavolini" w:hint="default"/>
        <w:sz w:val="22"/>
        <w:u w:val="single"/>
      </w:rPr>
    </w:lvl>
    <w:lvl w:ilvl="2">
      <w:start w:val="1"/>
      <w:numFmt w:val="decimal"/>
      <w:lvlText w:val="%1.%2.%3."/>
      <w:lvlJc w:val="left"/>
      <w:pPr>
        <w:ind w:left="1140" w:hanging="1140"/>
      </w:pPr>
      <w:rPr>
        <w:rFonts w:eastAsia="Calibri" w:cs="Cavolini" w:hint="default"/>
        <w:sz w:val="22"/>
        <w:u w:val="single"/>
      </w:rPr>
    </w:lvl>
    <w:lvl w:ilvl="3">
      <w:start w:val="1"/>
      <w:numFmt w:val="decimal"/>
      <w:lvlText w:val="%1.%2.%3.%4."/>
      <w:lvlJc w:val="left"/>
      <w:pPr>
        <w:ind w:left="1140" w:hanging="1140"/>
      </w:pPr>
      <w:rPr>
        <w:rFonts w:eastAsia="Calibri" w:cs="Cavolini" w:hint="default"/>
        <w:sz w:val="22"/>
        <w:u w:val="single"/>
      </w:rPr>
    </w:lvl>
    <w:lvl w:ilvl="4">
      <w:start w:val="1"/>
      <w:numFmt w:val="decimal"/>
      <w:lvlText w:val="%1.%2.%3.%4.%5."/>
      <w:lvlJc w:val="left"/>
      <w:pPr>
        <w:ind w:left="1140" w:hanging="1140"/>
      </w:pPr>
      <w:rPr>
        <w:rFonts w:eastAsia="Calibri" w:cs="Cavolini" w:hint="default"/>
        <w:sz w:val="22"/>
        <w:u w:val="single"/>
      </w:rPr>
    </w:lvl>
    <w:lvl w:ilvl="5">
      <w:start w:val="1"/>
      <w:numFmt w:val="decimal"/>
      <w:lvlText w:val="%1.%2.%3.%4.%5.%6."/>
      <w:lvlJc w:val="left"/>
      <w:pPr>
        <w:ind w:left="1440" w:hanging="1440"/>
      </w:pPr>
      <w:rPr>
        <w:rFonts w:eastAsia="Calibri" w:cs="Cavolini" w:hint="default"/>
        <w:sz w:val="22"/>
        <w:u w:val="single"/>
      </w:rPr>
    </w:lvl>
    <w:lvl w:ilvl="6">
      <w:start w:val="1"/>
      <w:numFmt w:val="decimal"/>
      <w:lvlText w:val="%1.%2.%3.%4.%5.%6.%7."/>
      <w:lvlJc w:val="left"/>
      <w:pPr>
        <w:ind w:left="1800" w:hanging="1800"/>
      </w:pPr>
      <w:rPr>
        <w:rFonts w:eastAsia="Calibri" w:cs="Cavolini" w:hint="default"/>
        <w:sz w:val="22"/>
        <w:u w:val="single"/>
      </w:rPr>
    </w:lvl>
    <w:lvl w:ilvl="7">
      <w:start w:val="1"/>
      <w:numFmt w:val="decimal"/>
      <w:lvlText w:val="%1.%2.%3.%4.%5.%6.%7.%8."/>
      <w:lvlJc w:val="left"/>
      <w:pPr>
        <w:ind w:left="1800" w:hanging="1800"/>
      </w:pPr>
      <w:rPr>
        <w:rFonts w:eastAsia="Calibri" w:cs="Cavolini" w:hint="default"/>
        <w:sz w:val="22"/>
        <w:u w:val="single"/>
      </w:rPr>
    </w:lvl>
    <w:lvl w:ilvl="8">
      <w:start w:val="1"/>
      <w:numFmt w:val="decimal"/>
      <w:lvlText w:val="%1.%2.%3.%4.%5.%6.%7.%8.%9."/>
      <w:lvlJc w:val="left"/>
      <w:pPr>
        <w:ind w:left="2160" w:hanging="2160"/>
      </w:pPr>
      <w:rPr>
        <w:rFonts w:eastAsia="Calibri" w:cs="Cavolini" w:hint="default"/>
        <w:sz w:val="22"/>
        <w:u w:val="single"/>
      </w:rPr>
    </w:lvl>
  </w:abstractNum>
  <w:num w:numId="1" w16cid:durableId="16395795">
    <w:abstractNumId w:val="12"/>
  </w:num>
  <w:num w:numId="2" w16cid:durableId="1001356224">
    <w:abstractNumId w:val="16"/>
  </w:num>
  <w:num w:numId="3" w16cid:durableId="2033845436">
    <w:abstractNumId w:val="15"/>
  </w:num>
  <w:num w:numId="4" w16cid:durableId="1587034185">
    <w:abstractNumId w:val="20"/>
  </w:num>
  <w:num w:numId="5" w16cid:durableId="248923970">
    <w:abstractNumId w:val="18"/>
  </w:num>
  <w:num w:numId="6" w16cid:durableId="1283532258">
    <w:abstractNumId w:val="8"/>
  </w:num>
  <w:num w:numId="7" w16cid:durableId="430593812">
    <w:abstractNumId w:val="14"/>
  </w:num>
  <w:num w:numId="8" w16cid:durableId="829296100">
    <w:abstractNumId w:val="19"/>
  </w:num>
  <w:num w:numId="9" w16cid:durableId="1212762514">
    <w:abstractNumId w:val="17"/>
  </w:num>
  <w:num w:numId="10" w16cid:durableId="2122407815">
    <w:abstractNumId w:val="4"/>
  </w:num>
  <w:num w:numId="11" w16cid:durableId="830873761">
    <w:abstractNumId w:val="6"/>
  </w:num>
  <w:num w:numId="12" w16cid:durableId="1827745367">
    <w:abstractNumId w:val="10"/>
  </w:num>
  <w:num w:numId="13" w16cid:durableId="2120443005">
    <w:abstractNumId w:val="1"/>
  </w:num>
  <w:num w:numId="14" w16cid:durableId="1403017249">
    <w:abstractNumId w:val="0"/>
  </w:num>
  <w:num w:numId="15" w16cid:durableId="567619665">
    <w:abstractNumId w:val="21"/>
  </w:num>
  <w:num w:numId="16" w16cid:durableId="594559697">
    <w:abstractNumId w:val="22"/>
  </w:num>
  <w:num w:numId="17" w16cid:durableId="1812746965">
    <w:abstractNumId w:val="2"/>
  </w:num>
  <w:num w:numId="18" w16cid:durableId="2073573978">
    <w:abstractNumId w:val="11"/>
  </w:num>
  <w:num w:numId="19" w16cid:durableId="71127916">
    <w:abstractNumId w:val="5"/>
  </w:num>
  <w:num w:numId="20" w16cid:durableId="257565243">
    <w:abstractNumId w:val="3"/>
  </w:num>
  <w:num w:numId="21" w16cid:durableId="1238442165">
    <w:abstractNumId w:val="7"/>
  </w:num>
  <w:num w:numId="22" w16cid:durableId="479201250">
    <w:abstractNumId w:val="23"/>
  </w:num>
  <w:num w:numId="23" w16cid:durableId="1549875788">
    <w:abstractNumId w:val="9"/>
  </w:num>
  <w:num w:numId="24" w16cid:durableId="2123499189">
    <w:abstractNumId w:val="13"/>
  </w:num>
  <w:num w:numId="25" w16cid:durableId="807547650">
    <w:abstractNumId w:val="25"/>
  </w:num>
  <w:num w:numId="26" w16cid:durableId="11951156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0D"/>
    <w:rsid w:val="00047571"/>
    <w:rsid w:val="0005065D"/>
    <w:rsid w:val="000B092F"/>
    <w:rsid w:val="000E2637"/>
    <w:rsid w:val="00142B23"/>
    <w:rsid w:val="002469D8"/>
    <w:rsid w:val="00247830"/>
    <w:rsid w:val="00267C57"/>
    <w:rsid w:val="0028562F"/>
    <w:rsid w:val="002D1AE8"/>
    <w:rsid w:val="002D54A8"/>
    <w:rsid w:val="00311024"/>
    <w:rsid w:val="00345214"/>
    <w:rsid w:val="00385D74"/>
    <w:rsid w:val="004218EE"/>
    <w:rsid w:val="00430EAB"/>
    <w:rsid w:val="004618A4"/>
    <w:rsid w:val="004C1C5E"/>
    <w:rsid w:val="004D4066"/>
    <w:rsid w:val="00534C55"/>
    <w:rsid w:val="00540DD3"/>
    <w:rsid w:val="0058388A"/>
    <w:rsid w:val="005B44C2"/>
    <w:rsid w:val="006228B9"/>
    <w:rsid w:val="00630E17"/>
    <w:rsid w:val="006C23CE"/>
    <w:rsid w:val="006D0586"/>
    <w:rsid w:val="0071184A"/>
    <w:rsid w:val="00755F03"/>
    <w:rsid w:val="008018D1"/>
    <w:rsid w:val="00815F62"/>
    <w:rsid w:val="008212D0"/>
    <w:rsid w:val="00852442"/>
    <w:rsid w:val="008B73BE"/>
    <w:rsid w:val="00924D64"/>
    <w:rsid w:val="00936381"/>
    <w:rsid w:val="009F54B6"/>
    <w:rsid w:val="00A234F8"/>
    <w:rsid w:val="00A34876"/>
    <w:rsid w:val="00A65664"/>
    <w:rsid w:val="00AD24BC"/>
    <w:rsid w:val="00B54EE1"/>
    <w:rsid w:val="00B706AF"/>
    <w:rsid w:val="00B76EA4"/>
    <w:rsid w:val="00B94616"/>
    <w:rsid w:val="00C213E8"/>
    <w:rsid w:val="00C23631"/>
    <w:rsid w:val="00C359D4"/>
    <w:rsid w:val="00C6282F"/>
    <w:rsid w:val="00C818DA"/>
    <w:rsid w:val="00CB3EA0"/>
    <w:rsid w:val="00CB6E9F"/>
    <w:rsid w:val="00D1657D"/>
    <w:rsid w:val="00DC1E0D"/>
    <w:rsid w:val="00F209A4"/>
    <w:rsid w:val="00F54711"/>
    <w:rsid w:val="00FE5B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1B70B"/>
  <w15:chartTrackingRefBased/>
  <w15:docId w15:val="{D2B1237E-D57F-4C10-842E-EA19B6DD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1E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DC1E0D"/>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DC1E0D"/>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0D"/>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DC1E0D"/>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DC1E0D"/>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DC1E0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DC1E0D"/>
    <w:rPr>
      <w:b/>
      <w:bCs/>
    </w:rPr>
  </w:style>
  <w:style w:type="character" w:styleId="Emphasis">
    <w:name w:val="Emphasis"/>
    <w:basedOn w:val="DefaultParagraphFont"/>
    <w:uiPriority w:val="20"/>
    <w:qFormat/>
    <w:rsid w:val="00534C55"/>
    <w:rPr>
      <w:i/>
      <w:iCs/>
    </w:rPr>
  </w:style>
  <w:style w:type="paragraph" w:styleId="ListParagraph">
    <w:name w:val="List Paragraph"/>
    <w:basedOn w:val="Normal"/>
    <w:uiPriority w:val="34"/>
    <w:qFormat/>
    <w:rsid w:val="00C818DA"/>
    <w:pPr>
      <w:ind w:left="720"/>
      <w:contextualSpacing/>
    </w:pPr>
  </w:style>
  <w:style w:type="paragraph" w:styleId="BalloonText">
    <w:name w:val="Balloon Text"/>
    <w:basedOn w:val="Normal"/>
    <w:link w:val="BalloonTextChar"/>
    <w:uiPriority w:val="99"/>
    <w:semiHidden/>
    <w:unhideWhenUsed/>
    <w:rsid w:val="00047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71"/>
    <w:rPr>
      <w:rFonts w:ascii="Segoe UI" w:hAnsi="Segoe UI" w:cs="Segoe UI"/>
      <w:sz w:val="18"/>
      <w:szCs w:val="18"/>
    </w:rPr>
  </w:style>
  <w:style w:type="paragraph" w:styleId="Header">
    <w:name w:val="header"/>
    <w:basedOn w:val="Normal"/>
    <w:link w:val="HeaderChar"/>
    <w:uiPriority w:val="99"/>
    <w:unhideWhenUsed/>
    <w:rsid w:val="00047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571"/>
  </w:style>
  <w:style w:type="paragraph" w:styleId="Footer">
    <w:name w:val="footer"/>
    <w:basedOn w:val="Normal"/>
    <w:link w:val="FooterChar"/>
    <w:uiPriority w:val="99"/>
    <w:unhideWhenUsed/>
    <w:rsid w:val="00047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571"/>
  </w:style>
  <w:style w:type="character" w:styleId="Hyperlink">
    <w:name w:val="Hyperlink"/>
    <w:basedOn w:val="DefaultParagraphFont"/>
    <w:uiPriority w:val="99"/>
    <w:unhideWhenUsed/>
    <w:rsid w:val="00B76EA4"/>
    <w:rPr>
      <w:color w:val="0563C1" w:themeColor="hyperlink"/>
      <w:u w:val="single"/>
    </w:rPr>
  </w:style>
  <w:style w:type="table" w:styleId="GridTable4-Accent1">
    <w:name w:val="Grid Table 4 Accent 1"/>
    <w:basedOn w:val="TableNormal"/>
    <w:uiPriority w:val="49"/>
    <w:rsid w:val="00852442"/>
    <w:pPr>
      <w:spacing w:after="0" w:line="240" w:lineRule="auto"/>
    </w:pPr>
    <w:rPr>
      <w:rFonts w:eastAsia="Times New Roman" w:hAnsi="Times New Roman" w:cs="Times New Roman"/>
      <w:lang w:eastAsia="en-I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rsid w:val="006D0586"/>
    <w:pPr>
      <w:tabs>
        <w:tab w:val="left" w:pos="1134"/>
        <w:tab w:val="left" w:pos="8789"/>
        <w:tab w:val="right" w:leader="dot" w:pos="8931"/>
      </w:tabs>
      <w:spacing w:before="240" w:after="100" w:line="276" w:lineRule="auto"/>
      <w:jc w:val="both"/>
    </w:pPr>
    <w:rPr>
      <w:rFonts w:ascii="Akkurat" w:eastAsia="Calibri" w:hAnsi="Akkurat" w:cs="Cavolini"/>
      <w:b/>
      <w:noProof/>
      <w:lang w:val="en-GB"/>
    </w:rPr>
  </w:style>
  <w:style w:type="paragraph" w:styleId="TOC2">
    <w:name w:val="toc 2"/>
    <w:basedOn w:val="Normal"/>
    <w:next w:val="Normal"/>
    <w:autoRedefine/>
    <w:uiPriority w:val="39"/>
    <w:rsid w:val="00852442"/>
    <w:pPr>
      <w:spacing w:before="240" w:after="100" w:line="276" w:lineRule="auto"/>
      <w:ind w:left="220"/>
      <w:jc w:val="both"/>
    </w:pPr>
    <w:rPr>
      <w:rFonts w:ascii="Arial" w:eastAsia="Calibri" w:hAnsi="Arial" w:cs="Arial"/>
      <w:color w:val="000000"/>
      <w:lang w:val="en-GB"/>
    </w:rPr>
  </w:style>
  <w:style w:type="paragraph" w:styleId="TOC3">
    <w:name w:val="toc 3"/>
    <w:basedOn w:val="Normal"/>
    <w:next w:val="Normal"/>
    <w:autoRedefine/>
    <w:uiPriority w:val="39"/>
    <w:rsid w:val="00852442"/>
    <w:pPr>
      <w:tabs>
        <w:tab w:val="left" w:pos="851"/>
        <w:tab w:val="left" w:pos="880"/>
        <w:tab w:val="right" w:leader="dot" w:pos="9016"/>
      </w:tabs>
      <w:spacing w:before="120" w:after="0" w:line="240" w:lineRule="auto"/>
      <w:ind w:left="1134" w:hanging="692"/>
      <w:jc w:val="both"/>
    </w:pPr>
    <w:rPr>
      <w:rFonts w:ascii="Arial" w:eastAsia="Calibri" w:hAnsi="Arial" w:cs="Arial"/>
      <w:color w:val="000000"/>
      <w:lang w:val="en-GB"/>
    </w:rPr>
  </w:style>
  <w:style w:type="paragraph" w:styleId="BodyTextIndent3">
    <w:name w:val="Body Text Indent 3"/>
    <w:basedOn w:val="Normal"/>
    <w:link w:val="BodyTextIndent3Char"/>
    <w:uiPriority w:val="99"/>
    <w:semiHidden/>
    <w:rsid w:val="00430EAB"/>
    <w:pPr>
      <w:spacing w:before="240" w:after="120" w:line="276" w:lineRule="auto"/>
      <w:ind w:left="283"/>
      <w:jc w:val="both"/>
    </w:pPr>
    <w:rPr>
      <w:rFonts w:ascii="Arial" w:eastAsia="Calibri" w:hAnsi="Arial" w:cs="Arial"/>
      <w:color w:val="000000"/>
      <w:sz w:val="16"/>
      <w:szCs w:val="16"/>
      <w:lang w:val="en-GB"/>
    </w:rPr>
  </w:style>
  <w:style w:type="character" w:customStyle="1" w:styleId="BodyTextIndent3Char">
    <w:name w:val="Body Text Indent 3 Char"/>
    <w:basedOn w:val="DefaultParagraphFont"/>
    <w:link w:val="BodyTextIndent3"/>
    <w:uiPriority w:val="99"/>
    <w:semiHidden/>
    <w:rsid w:val="00430EAB"/>
    <w:rPr>
      <w:rFonts w:ascii="Arial" w:eastAsia="Calibri" w:hAnsi="Arial" w:cs="Arial"/>
      <w:color w:val="000000"/>
      <w:sz w:val="16"/>
      <w:szCs w:val="16"/>
      <w:lang w:val="en-GB"/>
    </w:rPr>
  </w:style>
  <w:style w:type="character" w:styleId="FollowedHyperlink">
    <w:name w:val="FollowedHyperlink"/>
    <w:basedOn w:val="DefaultParagraphFont"/>
    <w:uiPriority w:val="99"/>
    <w:semiHidden/>
    <w:unhideWhenUsed/>
    <w:rsid w:val="006C2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4767">
      <w:bodyDiv w:val="1"/>
      <w:marLeft w:val="0"/>
      <w:marRight w:val="0"/>
      <w:marTop w:val="0"/>
      <w:marBottom w:val="0"/>
      <w:divBdr>
        <w:top w:val="none" w:sz="0" w:space="0" w:color="auto"/>
        <w:left w:val="none" w:sz="0" w:space="0" w:color="auto"/>
        <w:bottom w:val="none" w:sz="0" w:space="0" w:color="auto"/>
        <w:right w:val="none" w:sz="0" w:space="0" w:color="auto"/>
      </w:divBdr>
    </w:div>
    <w:div w:id="318196029">
      <w:bodyDiv w:val="1"/>
      <w:marLeft w:val="0"/>
      <w:marRight w:val="0"/>
      <w:marTop w:val="0"/>
      <w:marBottom w:val="0"/>
      <w:divBdr>
        <w:top w:val="none" w:sz="0" w:space="0" w:color="auto"/>
        <w:left w:val="none" w:sz="0" w:space="0" w:color="auto"/>
        <w:bottom w:val="none" w:sz="0" w:space="0" w:color="auto"/>
        <w:right w:val="none" w:sz="0" w:space="0" w:color="auto"/>
      </w:divBdr>
      <w:divsChild>
        <w:div w:id="2012677181">
          <w:marLeft w:val="0"/>
          <w:marRight w:val="0"/>
          <w:marTop w:val="0"/>
          <w:marBottom w:val="0"/>
          <w:divBdr>
            <w:top w:val="none" w:sz="0" w:space="0" w:color="auto"/>
            <w:left w:val="none" w:sz="0" w:space="0" w:color="auto"/>
            <w:bottom w:val="none" w:sz="0" w:space="0" w:color="auto"/>
            <w:right w:val="none" w:sz="0" w:space="0" w:color="auto"/>
          </w:divBdr>
        </w:div>
      </w:divsChild>
    </w:div>
    <w:div w:id="471170681">
      <w:bodyDiv w:val="1"/>
      <w:marLeft w:val="0"/>
      <w:marRight w:val="0"/>
      <w:marTop w:val="0"/>
      <w:marBottom w:val="0"/>
      <w:divBdr>
        <w:top w:val="none" w:sz="0" w:space="0" w:color="auto"/>
        <w:left w:val="none" w:sz="0" w:space="0" w:color="auto"/>
        <w:bottom w:val="none" w:sz="0" w:space="0" w:color="auto"/>
        <w:right w:val="none" w:sz="0" w:space="0" w:color="auto"/>
      </w:divBdr>
    </w:div>
    <w:div w:id="617025959">
      <w:bodyDiv w:val="1"/>
      <w:marLeft w:val="0"/>
      <w:marRight w:val="0"/>
      <w:marTop w:val="0"/>
      <w:marBottom w:val="0"/>
      <w:divBdr>
        <w:top w:val="none" w:sz="0" w:space="0" w:color="auto"/>
        <w:left w:val="none" w:sz="0" w:space="0" w:color="auto"/>
        <w:bottom w:val="none" w:sz="0" w:space="0" w:color="auto"/>
        <w:right w:val="none" w:sz="0" w:space="0" w:color="auto"/>
      </w:divBdr>
      <w:divsChild>
        <w:div w:id="976688437">
          <w:marLeft w:val="0"/>
          <w:marRight w:val="0"/>
          <w:marTop w:val="0"/>
          <w:marBottom w:val="0"/>
          <w:divBdr>
            <w:top w:val="none" w:sz="0" w:space="0" w:color="auto"/>
            <w:left w:val="none" w:sz="0" w:space="0" w:color="auto"/>
            <w:bottom w:val="none" w:sz="0" w:space="0" w:color="auto"/>
            <w:right w:val="none" w:sz="0" w:space="0" w:color="auto"/>
          </w:divBdr>
          <w:divsChild>
            <w:div w:id="8271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104">
      <w:bodyDiv w:val="1"/>
      <w:marLeft w:val="0"/>
      <w:marRight w:val="0"/>
      <w:marTop w:val="0"/>
      <w:marBottom w:val="0"/>
      <w:divBdr>
        <w:top w:val="none" w:sz="0" w:space="0" w:color="auto"/>
        <w:left w:val="none" w:sz="0" w:space="0" w:color="auto"/>
        <w:bottom w:val="none" w:sz="0" w:space="0" w:color="auto"/>
        <w:right w:val="none" w:sz="0" w:space="0" w:color="auto"/>
      </w:divBdr>
    </w:div>
    <w:div w:id="1537084322">
      <w:bodyDiv w:val="1"/>
      <w:marLeft w:val="0"/>
      <w:marRight w:val="0"/>
      <w:marTop w:val="0"/>
      <w:marBottom w:val="0"/>
      <w:divBdr>
        <w:top w:val="none" w:sz="0" w:space="0" w:color="auto"/>
        <w:left w:val="none" w:sz="0" w:space="0" w:color="auto"/>
        <w:bottom w:val="none" w:sz="0" w:space="0" w:color="auto"/>
        <w:right w:val="none" w:sz="0" w:space="0" w:color="auto"/>
      </w:divBdr>
      <w:divsChild>
        <w:div w:id="216939300">
          <w:marLeft w:val="0"/>
          <w:marRight w:val="0"/>
          <w:marTop w:val="0"/>
          <w:marBottom w:val="0"/>
          <w:divBdr>
            <w:top w:val="none" w:sz="0" w:space="0" w:color="auto"/>
            <w:left w:val="none" w:sz="0" w:space="0" w:color="auto"/>
            <w:bottom w:val="none" w:sz="0" w:space="0" w:color="auto"/>
            <w:right w:val="none" w:sz="0" w:space="0" w:color="auto"/>
          </w:divBdr>
        </w:div>
      </w:divsChild>
    </w:div>
    <w:div w:id="1708141035">
      <w:bodyDiv w:val="1"/>
      <w:marLeft w:val="0"/>
      <w:marRight w:val="0"/>
      <w:marTop w:val="0"/>
      <w:marBottom w:val="0"/>
      <w:divBdr>
        <w:top w:val="none" w:sz="0" w:space="0" w:color="auto"/>
        <w:left w:val="none" w:sz="0" w:space="0" w:color="auto"/>
        <w:bottom w:val="none" w:sz="0" w:space="0" w:color="auto"/>
        <w:right w:val="none" w:sz="0" w:space="0" w:color="auto"/>
      </w:divBdr>
      <w:divsChild>
        <w:div w:id="2003193290">
          <w:marLeft w:val="0"/>
          <w:marRight w:val="0"/>
          <w:marTop w:val="0"/>
          <w:marBottom w:val="0"/>
          <w:divBdr>
            <w:top w:val="none" w:sz="0" w:space="0" w:color="auto"/>
            <w:left w:val="none" w:sz="0" w:space="0" w:color="auto"/>
            <w:bottom w:val="none" w:sz="0" w:space="0" w:color="auto"/>
            <w:right w:val="none" w:sz="0" w:space="0" w:color="auto"/>
          </w:divBdr>
          <w:divsChild>
            <w:div w:id="9973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70038">
      <w:bodyDiv w:val="1"/>
      <w:marLeft w:val="0"/>
      <w:marRight w:val="0"/>
      <w:marTop w:val="0"/>
      <w:marBottom w:val="0"/>
      <w:divBdr>
        <w:top w:val="none" w:sz="0" w:space="0" w:color="auto"/>
        <w:left w:val="none" w:sz="0" w:space="0" w:color="auto"/>
        <w:bottom w:val="none" w:sz="0" w:space="0" w:color="auto"/>
        <w:right w:val="none" w:sz="0" w:space="0" w:color="auto"/>
      </w:divBdr>
      <w:divsChild>
        <w:div w:id="158375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nrestaxclearance@revenu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dowling@solsticeartscentre.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ison.dowling@solsticeartscentre.i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0CABA-59B1-4639-BE26-D058C923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12</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Quirke</dc:creator>
  <cp:keywords/>
  <dc:description/>
  <cp:lastModifiedBy>Sorcha</cp:lastModifiedBy>
  <cp:revision>10</cp:revision>
  <cp:lastPrinted>2026-04-17T17:56:00Z</cp:lastPrinted>
  <dcterms:created xsi:type="dcterms:W3CDTF">2026-04-17T12:11:00Z</dcterms:created>
  <dcterms:modified xsi:type="dcterms:W3CDTF">2026-05-14T09:05:00Z</dcterms:modified>
</cp:coreProperties>
</file>